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6997065" cy="7930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7930515"/>
                    </a:xfrm>
                    <a:prstGeom prst="rect">
                      <a:avLst/>
                    </a:prstGeom>
                    <a:noFill/>
                  </pic:spPr>
                </pic:pic>
              </a:graphicData>
            </a:graphic>
          </wp:anchor>
        </w:drawing>
      </w:r>
    </w:p>
    <w:p>
      <w:pPr>
        <w:spacing w:after="0" w:line="1086" w:lineRule="exact"/>
        <w:rPr>
          <w:sz w:val="24"/>
          <w:szCs w:val="24"/>
          <w:color w:val="auto"/>
        </w:rPr>
      </w:pPr>
    </w:p>
    <w:p>
      <w:pPr>
        <w:sectPr>
          <w:pgSz w:w="11900" w:h="16897" w:orient="portrait"/>
          <w:cols w:equalWidth="0" w:num="2">
            <w:col w:w="2340" w:space="320"/>
            <w:col w:w="842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Goel Rajeev K.</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PUBMATIC, INC.</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601 MARSHALL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38"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PubMatic,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PUBM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10/22/2026</w:t>
      </w:r>
    </w:p>
    <w:p>
      <w:pPr>
        <w:spacing w:after="0" w:line="20" w:lineRule="exact"/>
        <w:rPr>
          <w:sz w:val="24"/>
          <w:szCs w:val="24"/>
          <w:color w:val="auto"/>
        </w:rPr>
      </w:pPr>
      <w:r>
        <w:rPr>
          <w:sz w:val="24"/>
          <w:szCs w:val="24"/>
          <w:color w:val="auto"/>
        </w:rPr>
        <w:br w:type="column"/>
      </w:r>
    </w:p>
    <w:p>
      <w:pPr>
        <w:ind w:left="1" w:right="700" w:hanging="1"/>
        <w:spacing w:after="0" w:line="24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1"/>
        <w:spacing w:after="0"/>
        <w:tabs>
          <w:tab w:leader="none" w:pos="1726"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1938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38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521"/>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36" w:lineRule="exact"/>
        <w:rPr>
          <w:sz w:val="24"/>
          <w:szCs w:val="24"/>
          <w:color w:val="auto"/>
        </w:rPr>
      </w:pPr>
    </w:p>
    <w:p>
      <w:pPr>
        <w:sectPr>
          <w:pgSz w:w="11900" w:h="16897" w:orient="portrait"/>
          <w:cols w:equalWidth="0" w:num="3">
            <w:col w:w="3180" w:space="720"/>
            <w:col w:w="3119" w:space="720"/>
            <w:col w:w="3341"/>
          </w:cols>
          <w:pgMar w:left="460" w:top="215" w:right="359" w:bottom="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8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bottom w:val="single" w:sz="8" w:color="2C2C2C"/>
            </w:tcBorders>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3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580" w:type="dxa"/>
            <w:vAlign w:val="bottom"/>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5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3"/>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REDWOOD</w:t>
            </w: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94063</w:t>
            </w:r>
          </w:p>
        </w:tc>
        <w:tc>
          <w:tcPr>
            <w:tcW w:w="668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CITY</w:t>
            </w:r>
          </w:p>
        </w:tc>
        <w:tc>
          <w:tcPr>
            <w:tcW w:w="100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04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80" w:type="dxa"/>
            <w:vAlign w:val="bottom"/>
          </w:tcPr>
          <w:p>
            <w:pPr>
              <w:ind w:left="4500"/>
              <w:spacing w:after="0" w:line="138" w:lineRule="exact"/>
              <w:rPr>
                <w:sz w:val="20"/>
                <w:szCs w:val="20"/>
                <w:color w:val="auto"/>
              </w:rPr>
            </w:pPr>
            <w:r>
              <w:rPr>
                <w:rFonts w:ascii="Arial" w:cs="Arial" w:eastAsia="Arial" w:hAnsi="Arial"/>
                <w:sz w:val="13"/>
                <w:szCs w:val="13"/>
                <w:color w:val="auto"/>
                <w:w w:val="95"/>
              </w:rPr>
              <w:t>Form filed by More than One Reporting</w:t>
            </w:r>
          </w:p>
        </w:tc>
        <w:tc>
          <w:tcPr>
            <w:tcW w:w="0" w:type="dxa"/>
            <w:vAlign w:val="bottom"/>
          </w:tcPr>
          <w:p>
            <w:pPr>
              <w:spacing w:after="0"/>
              <w:rPr>
                <w:sz w:val="1"/>
                <w:szCs w:val="1"/>
                <w:color w:val="auto"/>
              </w:rPr>
            </w:pPr>
          </w:p>
        </w:tc>
      </w:tr>
      <w:tr>
        <w:trPr>
          <w:trHeight w:val="131"/>
        </w:trPr>
        <w:tc>
          <w:tcPr>
            <w:tcW w:w="10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680" w:type="dxa"/>
            <w:vAlign w:val="bottom"/>
          </w:tcPr>
          <w:p>
            <w:pPr>
              <w:ind w:left="4500"/>
              <w:spacing w:after="0" w:line="106"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1"/>
        </w:trPr>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40" w:type="dxa"/>
            <w:vAlign w:val="bottom"/>
            <w:gridSpan w:val="2"/>
          </w:tcPr>
          <w:p>
            <w:pPr>
              <w:ind w:left="70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0000FF"/>
              </w:rPr>
              <w:t>10/22/2026</w:t>
            </w: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34,371</w:t>
            </w:r>
          </w:p>
        </w:tc>
        <w:tc>
          <w:tcPr>
            <w:tcW w:w="54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21"/>
                <w:szCs w:val="21"/>
                <w:color w:val="auto"/>
              </w:rPr>
            </w:pPr>
          </w:p>
        </w:tc>
        <w:tc>
          <w:tcPr>
            <w:tcW w:w="124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81,795</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(2)</w:t>
            </w:r>
          </w:p>
        </w:tc>
        <w:tc>
          <w:tcPr>
            <w:tcW w:w="174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6"/>
                <w:szCs w:val="16"/>
                <w:color w:val="0000FF"/>
              </w:rPr>
              <w:t>10/22/2026</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50,021</w:t>
            </w:r>
          </w:p>
        </w:tc>
        <w:tc>
          <w:tcPr>
            <w:tcW w:w="5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17.2575</w:t>
            </w:r>
            <w:r>
              <w:rPr>
                <w:rFonts w:ascii="Times New Roman" w:cs="Times New Roman" w:eastAsia="Times New Roman" w:hAnsi="Times New Roman"/>
                <w:sz w:val="20"/>
                <w:szCs w:val="20"/>
                <w:color w:val="008000"/>
                <w:w w:val="96"/>
                <w:vertAlign w:val="superscript"/>
              </w:rPr>
              <w:t>(4)</w:t>
            </w:r>
          </w:p>
        </w:tc>
        <w:tc>
          <w:tcPr>
            <w:tcW w:w="124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6"/>
                <w:szCs w:val="16"/>
                <w:color w:val="0000FF"/>
              </w:rPr>
              <w:t>31,774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ind w:left="160"/>
              <w:spacing w:after="0"/>
              <w:rPr>
                <w:sz w:val="20"/>
                <w:szCs w:val="20"/>
                <w:color w:val="auto"/>
              </w:rPr>
            </w:pPr>
            <w:r>
              <w:rPr>
                <w:rFonts w:ascii="Arial" w:cs="Arial" w:eastAsia="Arial" w:hAnsi="Arial"/>
                <w:sz w:val="11"/>
                <w:szCs w:val="11"/>
                <w:b w:val="1"/>
                <w:bCs w:val="1"/>
                <w:color w:val="auto"/>
              </w:rPr>
              <w:t>and 5)</w:t>
            </w: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(5)</w:t>
            </w:r>
          </w:p>
        </w:tc>
        <w:tc>
          <w:tcPr>
            <w:tcW w:w="760" w:type="dxa"/>
            <w:vAlign w:val="bottom"/>
          </w:tcPr>
          <w:p>
            <w:pPr>
              <w:spacing w:after="0"/>
              <w:rPr>
                <w:sz w:val="12"/>
                <w:szCs w:val="12"/>
                <w:color w:val="auto"/>
              </w:rPr>
            </w:pPr>
          </w:p>
        </w:tc>
        <w:tc>
          <w:tcPr>
            <w:tcW w:w="5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2"/>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21,871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buy Class</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2.15</w:t>
            </w: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10/22/2026</w:t>
            </w:r>
          </w:p>
        </w:tc>
        <w:tc>
          <w:tcPr>
            <w:tcW w:w="1060" w:type="dxa"/>
            <w:vAlign w:val="bottom"/>
          </w:tcPr>
          <w:p>
            <w:pPr>
              <w:spacing w:after="0"/>
              <w:rPr>
                <w:sz w:val="12"/>
                <w:szCs w:val="12"/>
                <w:color w:val="auto"/>
              </w:rPr>
            </w:pPr>
          </w:p>
        </w:tc>
        <w:tc>
          <w:tcPr>
            <w:tcW w:w="680" w:type="dxa"/>
            <w:vAlign w:val="bottom"/>
          </w:tcPr>
          <w:p>
            <w:pPr>
              <w:ind w:left="1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w w:val="89"/>
              </w:rPr>
              <w:t>21,871</w:t>
            </w:r>
          </w:p>
        </w:tc>
        <w:tc>
          <w:tcPr>
            <w:tcW w:w="780" w:type="dxa"/>
            <w:vAlign w:val="bottom"/>
            <w:vMerge w:val="continue"/>
          </w:tcPr>
          <w:p>
            <w:pPr>
              <w:spacing w:after="0"/>
              <w:rPr>
                <w:sz w:val="12"/>
                <w:szCs w:val="12"/>
                <w:color w:val="auto"/>
              </w:rPr>
            </w:pPr>
          </w:p>
        </w:tc>
        <w:tc>
          <w:tcPr>
            <w:tcW w:w="7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05/01/2027</w:t>
            </w:r>
          </w:p>
        </w:tc>
        <w:tc>
          <w:tcPr>
            <w:tcW w:w="5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4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83"/>
              <w:spacing w:after="0" w:line="138" w:lineRule="exact"/>
              <w:rPr>
                <w:sz w:val="20"/>
                <w:szCs w:val="20"/>
                <w:color w:val="auto"/>
              </w:rPr>
            </w:pPr>
            <w:r>
              <w:rPr>
                <w:rFonts w:ascii="Times New Roman" w:cs="Times New Roman" w:eastAsia="Times New Roman" w:hAnsi="Times New Roman"/>
                <w:sz w:val="13"/>
                <w:szCs w:val="13"/>
                <w:color w:val="0000FF"/>
                <w:w w:val="94"/>
              </w:rPr>
              <w:t>51,217</w:t>
            </w:r>
          </w:p>
        </w:tc>
        <w:tc>
          <w:tcPr>
            <w:tcW w:w="280" w:type="dxa"/>
            <w:vAlign w:val="bottom"/>
          </w:tcPr>
          <w:p>
            <w:pPr>
              <w:spacing w:after="0"/>
              <w:rPr>
                <w:sz w:val="12"/>
                <w:szCs w:val="12"/>
                <w:color w:val="auto"/>
              </w:rPr>
            </w:pPr>
          </w:p>
        </w:tc>
        <w:tc>
          <w:tcPr>
            <w:tcW w:w="640" w:type="dxa"/>
            <w:vAlign w:val="bottom"/>
          </w:tcPr>
          <w:p>
            <w:pPr>
              <w:jc w:val="center"/>
              <w:ind w:left="20"/>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B</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21,871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10/22/2026</w:t>
            </w:r>
          </w:p>
        </w:tc>
        <w:tc>
          <w:tcPr>
            <w:tcW w:w="1060" w:type="dxa"/>
            <w:vAlign w:val="bottom"/>
          </w:tcPr>
          <w:p>
            <w:pPr>
              <w:spacing w:after="0"/>
              <w:rPr>
                <w:sz w:val="12"/>
                <w:szCs w:val="12"/>
                <w:color w:val="auto"/>
              </w:rPr>
            </w:pPr>
          </w:p>
        </w:tc>
        <w:tc>
          <w:tcPr>
            <w:tcW w:w="680" w:type="dxa"/>
            <w:vAlign w:val="bottom"/>
          </w:tcPr>
          <w:p>
            <w:pPr>
              <w:ind w:left="1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0000FF"/>
              </w:rPr>
              <w:t>21,871</w:t>
            </w:r>
          </w:p>
        </w:tc>
        <w:tc>
          <w:tcPr>
            <w:tcW w:w="4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2.15</w:t>
            </w: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195,355</w:t>
            </w:r>
          </w:p>
        </w:tc>
        <w:tc>
          <w:tcPr>
            <w:tcW w:w="640" w:type="dxa"/>
            <w:vAlign w:val="bottom"/>
          </w:tcPr>
          <w:p>
            <w:pPr>
              <w:jc w:val="center"/>
              <w:ind w:left="20"/>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34,371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10/22/2026</w:t>
            </w:r>
          </w:p>
        </w:tc>
        <w:tc>
          <w:tcPr>
            <w:tcW w:w="1060" w:type="dxa"/>
            <w:vAlign w:val="bottom"/>
          </w:tcPr>
          <w:p>
            <w:pPr>
              <w:spacing w:after="0"/>
              <w:rPr>
                <w:sz w:val="12"/>
                <w:szCs w:val="12"/>
                <w:color w:val="auto"/>
              </w:rPr>
            </w:pPr>
          </w:p>
        </w:tc>
        <w:tc>
          <w:tcPr>
            <w:tcW w:w="68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580" w:type="dxa"/>
            <w:vAlign w:val="bottom"/>
          </w:tcPr>
          <w:p>
            <w:pPr>
              <w:spacing w:after="0"/>
              <w:rPr>
                <w:sz w:val="12"/>
                <w:szCs w:val="12"/>
                <w:color w:val="auto"/>
              </w:rPr>
            </w:pPr>
          </w:p>
        </w:tc>
        <w:tc>
          <w:tcPr>
            <w:tcW w:w="42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w w:val="89"/>
              </w:rPr>
              <w:t>34,371</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4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160,984</w:t>
            </w:r>
          </w:p>
        </w:tc>
        <w:tc>
          <w:tcPr>
            <w:tcW w:w="640" w:type="dxa"/>
            <w:vAlign w:val="bottom"/>
          </w:tcPr>
          <w:p>
            <w:pPr>
              <w:jc w:val="center"/>
              <w:ind w:left="20"/>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581,260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4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581,260</w:t>
            </w:r>
          </w:p>
        </w:tc>
        <w:tc>
          <w:tcPr>
            <w:tcW w:w="640" w:type="dxa"/>
            <w:vAlign w:val="bottom"/>
            <w:vMerge w:val="restart"/>
          </w:tcPr>
          <w:p>
            <w:pPr>
              <w:jc w:val="center"/>
              <w:ind w:left="2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4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(6)</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400,000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4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400,000</w:t>
            </w:r>
          </w:p>
        </w:tc>
        <w:tc>
          <w:tcPr>
            <w:tcW w:w="640" w:type="dxa"/>
            <w:vAlign w:val="bottom"/>
            <w:vMerge w:val="restart"/>
          </w:tcPr>
          <w:p>
            <w:pPr>
              <w:jc w:val="center"/>
              <w:ind w:left="2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4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(7)</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68,616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vMerge w:val="restart"/>
          </w:tcPr>
          <w:p>
            <w:pPr>
              <w:jc w:val="center"/>
              <w:ind w:left="183"/>
              <w:spacing w:after="0"/>
              <w:rPr>
                <w:sz w:val="20"/>
                <w:szCs w:val="20"/>
                <w:color w:val="auto"/>
              </w:rPr>
            </w:pPr>
            <w:r>
              <w:rPr>
                <w:rFonts w:ascii="Times New Roman" w:cs="Times New Roman" w:eastAsia="Times New Roman" w:hAnsi="Times New Roman"/>
                <w:sz w:val="13"/>
                <w:szCs w:val="13"/>
                <w:color w:val="0000FF"/>
                <w:w w:val="94"/>
              </w:rPr>
              <w:t>68,616</w:t>
            </w:r>
          </w:p>
        </w:tc>
        <w:tc>
          <w:tcPr>
            <w:tcW w:w="280" w:type="dxa"/>
            <w:vAlign w:val="bottom"/>
          </w:tcPr>
          <w:p>
            <w:pPr>
              <w:spacing w:after="0"/>
              <w:rPr>
                <w:sz w:val="3"/>
                <w:szCs w:val="3"/>
                <w:color w:val="auto"/>
              </w:rPr>
            </w:pPr>
          </w:p>
        </w:tc>
        <w:tc>
          <w:tcPr>
            <w:tcW w:w="640" w:type="dxa"/>
            <w:vAlign w:val="bottom"/>
            <w:vMerge w:val="restart"/>
          </w:tcPr>
          <w:p>
            <w:pPr>
              <w:jc w:val="center"/>
              <w:ind w:left="20"/>
              <w:spacing w:after="0"/>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56"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jc w:val="center"/>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308,775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4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308,775</w:t>
            </w:r>
          </w:p>
        </w:tc>
        <w:tc>
          <w:tcPr>
            <w:tcW w:w="640" w:type="dxa"/>
            <w:vAlign w:val="bottom"/>
            <w:vMerge w:val="restart"/>
          </w:tcPr>
          <w:p>
            <w:pPr>
              <w:jc w:val="center"/>
              <w:ind w:left="2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4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(9)</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308,775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4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308,775</w:t>
            </w:r>
          </w:p>
        </w:tc>
        <w:tc>
          <w:tcPr>
            <w:tcW w:w="640" w:type="dxa"/>
            <w:vAlign w:val="bottom"/>
            <w:vMerge w:val="restart"/>
          </w:tcPr>
          <w:p>
            <w:pPr>
              <w:jc w:val="center"/>
              <w:ind w:left="2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4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(9)</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483,784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4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483,784</w:t>
            </w:r>
          </w:p>
        </w:tc>
        <w:tc>
          <w:tcPr>
            <w:tcW w:w="640" w:type="dxa"/>
            <w:vAlign w:val="bottom"/>
            <w:vMerge w:val="restart"/>
          </w:tcPr>
          <w:p>
            <w:pPr>
              <w:jc w:val="center"/>
              <w:ind w:left="2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4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(10)</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-4813935</wp:posOffset>
            </wp:positionV>
            <wp:extent cx="28575" cy="48196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481965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2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held by the Issuer's executive officers, directors and their respective affiliates will convert automatically into one share of Class A common stock upon any transfer, except for certain permitted transfers.</w:t>
      </w:r>
    </w:p>
    <w:p>
      <w:pPr>
        <w:spacing w:after="0" w:line="21" w:lineRule="exact"/>
        <w:rPr>
          <w:rFonts w:ascii="Times New Roman" w:cs="Times New Roman" w:eastAsia="Times New Roman" w:hAnsi="Times New Roman"/>
          <w:sz w:val="13"/>
          <w:szCs w:val="13"/>
          <w:color w:val="008000"/>
        </w:rPr>
      </w:pPr>
    </w:p>
    <w:p>
      <w:pPr>
        <w:ind w:left="40" w:right="5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sales reported in this line item, Mr. Goel holds 2,343,968 shares of Class A Common Stock and Class B Common Stock, which figure does not reflect vested but unexercised options, unvested options, or unvested restricted stock units, each as of the date of filing.</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line item were effected pursuant to a Rule 10b5-1 trading plan adopted by the Reporting Person on March 5, 2026.</w:t>
      </w:r>
    </w:p>
    <w:p>
      <w:pPr>
        <w:spacing w:after="0" w:line="38" w:lineRule="exact"/>
        <w:rPr>
          <w:rFonts w:ascii="Times New Roman" w:cs="Times New Roman" w:eastAsia="Times New Roman" w:hAnsi="Times New Roman"/>
          <w:sz w:val="13"/>
          <w:szCs w:val="13"/>
          <w:color w:val="008000"/>
        </w:rPr>
      </w:pPr>
    </w:p>
    <w:p>
      <w:pPr>
        <w:ind w:left="40" w:right="360" w:hanging="2"/>
        <w:spacing w:after="0" w:line="285"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weighted average sale price. The lowest price at which shares were sold was $16.97 and the highest price at which shares were sold was $17.67. The Reporting Person undertakes to provide upon request to the staff of the Securities and Exchange Commission, the Issuer or its stockholders, full information regarding the total number of shares sold at each separate price within the range set forth herein.</w:t>
      </w:r>
    </w:p>
    <w:p>
      <w:pPr>
        <w:sectPr>
          <w:pgSz w:w="11900" w:h="16897" w:orient="portrait"/>
          <w:cols w:equalWidth="0" w:num="1">
            <w:col w:w="11080"/>
          </w:cols>
          <w:pgMar w:left="460" w:top="215" w:right="359" w:bottom="0" w:gutter="0" w:footer="0" w:header="0"/>
          <w:type w:val="continuous"/>
        </w:sectPr>
      </w:pPr>
    </w:p>
    <w:bookmarkStart w:id="1" w:name="page2"/>
    <w:bookmarkEnd w:id="1"/>
    <w:p>
      <w:pPr>
        <w:ind w:left="122" w:hanging="122"/>
        <w:spacing w:after="0"/>
        <w:tabs>
          <w:tab w:leader="none" w:pos="12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fully vested.</w:t>
      </w:r>
    </w:p>
    <w:p>
      <w:pPr>
        <w:spacing w:after="0" w:line="38"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the Reporting Person, as custodian for the benefit of his children under the California Uniform Transfers to Minors Act.</w:t>
      </w:r>
    </w:p>
    <w:p>
      <w:pPr>
        <w:spacing w:after="0" w:line="38" w:lineRule="exact"/>
        <w:rPr>
          <w:rFonts w:ascii="Times New Roman" w:cs="Times New Roman" w:eastAsia="Times New Roman" w:hAnsi="Times New Roman"/>
          <w:sz w:val="13"/>
          <w:szCs w:val="13"/>
          <w:color w:val="008000"/>
        </w:rPr>
      </w:pPr>
    </w:p>
    <w:p>
      <w:pPr>
        <w:ind w:left="2" w:right="120" w:hanging="2"/>
        <w:spacing w:after="0" w:line="284" w:lineRule="auto"/>
        <w:tabs>
          <w:tab w:leader="none" w:pos="12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held by The Goel Heritage Trust, of which the Reporting Person's children are beneficiaries.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p>
      <w:pPr>
        <w:ind w:left="2" w:right="100" w:hanging="2"/>
        <w:spacing w:after="0" w:line="235"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The Goel Family Gift Trust, of which family members and certain other individuals are beneficiaries.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p>
      <w:pPr>
        <w:spacing w:after="0" w:line="25" w:lineRule="exact"/>
        <w:rPr>
          <w:rFonts w:ascii="Times New Roman" w:cs="Times New Roman" w:eastAsia="Times New Roman" w:hAnsi="Times New Roman"/>
          <w:sz w:val="13"/>
          <w:szCs w:val="13"/>
          <w:color w:val="008000"/>
        </w:rPr>
      </w:pPr>
    </w:p>
    <w:p>
      <w:pPr>
        <w:ind w:left="2" w:hanging="2"/>
        <w:spacing w:after="0" w:line="245"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a trust for the benefit of the Reporting Person's child.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p>
      <w:pPr>
        <w:spacing w:after="0" w:line="21"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The Goel Family Trust, of which the Reporting Person and his spouse are beneficiaries.</w:t>
      </w:r>
    </w:p>
    <w:p>
      <w:pPr>
        <w:ind w:left="6562"/>
        <w:spacing w:after="0" w:line="184" w:lineRule="auto"/>
        <w:rPr>
          <w:sz w:val="20"/>
          <w:szCs w:val="20"/>
          <w:color w:val="auto"/>
        </w:rPr>
      </w:pPr>
      <w:r>
        <w:rPr>
          <w:rFonts w:ascii="Times New Roman" w:cs="Times New Roman" w:eastAsia="Times New Roman" w:hAnsi="Times New Roman"/>
          <w:sz w:val="16"/>
          <w:szCs w:val="16"/>
          <w:color w:val="0000FF"/>
        </w:rPr>
        <w:t xml:space="preserve">/s/ Andrew Woods, Attorney-in- </w:t>
      </w:r>
      <w:r>
        <w:rPr>
          <w:rFonts w:ascii="Times New Roman" w:cs="Times New Roman" w:eastAsia="Times New Roman" w:hAnsi="Times New Roman"/>
          <w:sz w:val="32"/>
          <w:szCs w:val="32"/>
          <w:color w:val="0000FF"/>
          <w:vertAlign w:val="subscript"/>
        </w:rPr>
        <w:t>10/23/2026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-26035</wp:posOffset>
            </wp:positionV>
            <wp:extent cx="1339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-15875</wp:posOffset>
            </wp:positionV>
            <wp:extent cx="178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78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-79375</wp:posOffset>
            </wp:positionV>
            <wp:extent cx="472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2440" cy="8255"/>
                    </a:xfrm>
                    <a:prstGeom prst="rect">
                      <a:avLst/>
                    </a:prstGeom>
                    <a:noFill/>
                  </pic:spPr>
                </pic:pic>
              </a:graphicData>
            </a:graphic>
          </wp:anchor>
        </w:drawing>
      </w:r>
    </w:p>
    <w:p>
      <w:pPr>
        <w:spacing w:after="0" w:line="29" w:lineRule="exact"/>
        <w:rPr>
          <w:sz w:val="20"/>
          <w:szCs w:val="20"/>
          <w:color w:val="auto"/>
        </w:rPr>
      </w:pPr>
    </w:p>
    <w:p>
      <w:pPr>
        <w:ind w:left="6562"/>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640" w:hanging="2"/>
        <w:spacing w:after="0" w:line="327"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2"/>
      </w:cols>
      <w:pgMar w:left="498"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33511" TargetMode="External"/><Relationship Id="rId14" Type="http://schemas.openxmlformats.org/officeDocument/2006/relationships/hyperlink" Target="http://www.sec.gov/cgi-bin/browse-edgar?action=getcompany&amp;CIK=00014229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2026-10-23T18:40:13Z</dcterms:created>
  <dcterms:modified xsi:type="dcterms:W3CDTF">2026-10-23T18:40:13Z</dcterms:modified>
</cp:coreProperties>
</file>