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272026_100741.xml.htm"/>
      <w:bookmarkStart w:id="1" w:name="ksform407272026_1007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Goel Rajeev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PUBMATIC,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MARSHALL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PubMatic, Inc.</w:t>
              </w:r>
            </w:hyperlink>
            <w:r>
              <w:rPr/>
              <w:t xml:space="preserve"> [ </w:t>
            </w:r>
            <w:r>
              <w:rPr>
                <w:rFonts w:ascii="Times;serif" w:hAnsi="Times;serif"/>
                <w:color w:val="0000FF"/>
                <w:sz w:val="24"/>
                <w:shd w:fill="FFFFFF" w:val="clear"/>
              </w:rPr>
              <w:t>PUBM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21,870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69,171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81,671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Common Stock</w:t>
            </w:r>
            <w:r>
              <w:rPr>
                <w:rFonts w:ascii="Times;serif" w:hAnsi="Times;serif"/>
                <w:color w:val="008000"/>
                <w:position w:val="7"/>
                <w:sz w:val="16"/>
                <w:sz w:val="20"/>
                <w:shd w:fill="FFFFFF" w:val="clear"/>
              </w:rPr>
              <w:t>(2)</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49,979</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12.3453</w:t>
            </w:r>
            <w:r>
              <w:rPr>
                <w:rFonts w:ascii="Times;serif" w:hAnsi="Times;serif"/>
                <w:color w:val="008000"/>
                <w:position w:val="7"/>
                <w:sz w:val="16"/>
                <w:sz w:val="20"/>
                <w:shd w:fill="FFFFFF" w:val="clear"/>
              </w:rPr>
              <w:t>(4)</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31,692</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3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711"/>
        <w:gridCol w:w="711"/>
        <w:gridCol w:w="906"/>
        <w:gridCol w:w="801"/>
        <w:gridCol w:w="891"/>
        <w:gridCol w:w="921"/>
        <w:gridCol w:w="801"/>
        <w:gridCol w:w="936"/>
        <w:gridCol w:w="831"/>
        <w:gridCol w:w="90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 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21,870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21,870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116,829</w:t>
            </w:r>
            <w:r>
              <w:rPr>
                <w:rFonts w:ascii="Times;serif" w:hAnsi="Times;serif"/>
                <w:color w:val="008000"/>
                <w:position w:val="7"/>
                <w:sz w:val="16"/>
                <w:sz w:val="20"/>
                <w:shd w:fill="FFFFFF" w:val="clear"/>
              </w:rPr>
              <w:t>(6)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21,870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21,870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232,854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21,870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21,870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210,984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198,484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581,260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581,260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(7)</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(8)</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68,616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68,616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(9)</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308,775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308,775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(10)</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308,775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308,775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(10)</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483,784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483,784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(11)</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held by the Issuer's executive officers, directors and their respective affiliates will convert automatically into one share of Class A common stock upon any transfer, except for certain permitted transfers.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Following the sales reported in this line item, Mr. Goel holds 2,381,386 shares of Class A Common Stock and Class B Common Stock, which figure does not reflect vested but unexercised options, unvested options, or unvested restricted stock units, each as of the date of filing. The option award under which these shares were exercised expires on May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sales reported in this line item were effected pursuant to a Rule 10b5-1 trading plan adopted by the Reporting Person on March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weighted average sale price. The lowest price at which shares were sold was $12.25 and the highest price at which shares were sold was $12.56. The Reporting Person undertakes to provide upon request to the staff of the Securities and Exchange Commission, the Issuer or its stockholders, full information regarding the total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options are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Reflects an adjustment to the number of options remaining due to option exercise on November 9, 2020.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securities are held by the Reporting Person, as custodian for the benefit of his children under the California Uniform Transfers to Minors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securities are held by The Goel Heritage Trust, of which the Reporting Person's children are beneficiaries. The Reporting Person disclaims beneficial ownership of these securities except to the extent of his pecuniary interest therein, if any, and the filing of this report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securities are held by The Goel Family Gift Trust, of which family members and certain other individuals are beneficiaries. The Reporting Person disclaims beneficial ownership of these securities except to the extent of his pecuniary interest therein, if any, and the filing of this report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These securities are held by a trust for the benefit of the Reporting Person's child. The Reporting Person disclaims beneficial ownership of these securities except to the extent of his pecuniary interest therein, if any, and the filing of this report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These securities are held by The Goel Family Trust, of which the Reporting Person and his spouse are beneficiaries.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Woods,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3511" TargetMode="External"/><Relationship Id="rId5" Type="http://schemas.openxmlformats.org/officeDocument/2006/relationships/hyperlink" Target="http://www.sec.gov/cgi-bin/browse-edgar?action=getcompany&amp;CIK=0001422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1233</Words>
  <Characters>6342</Characters>
  <CharactersWithSpaces>7379</CharactersWithSpaces>
  <Paragraphs>226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