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firstLine="3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120" w:after="283"/>
        <w:jc w:val="left"/>
        <w:rPr/>
      </w:pPr>
      <w:r>
        <w:rPr>
          <w:rFonts w:ascii="Wingdings;sans-serif" w:hAnsi="Wingdings;sans-serif"/>
          <w:b/>
          <w:color w:val="000000"/>
          <w:sz w:val="20"/>
        </w:rPr>
        <w:t>x</w:t>
      </w: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br/>
        <w:t>or</w:t>
      </w:r>
    </w:p>
    <w:p>
      <w:pPr>
        <w:pStyle w:val="TextBody"/>
        <w:bidi w:val="0"/>
        <w:spacing w:lineRule="auto" w:line="288" w:before="120" w:after="283"/>
        <w:jc w:val="center"/>
        <w:rPr/>
      </w:pPr>
      <w:r>
        <w:rPr>
          <w:rFonts w:ascii="Wingdings;sans-serif" w:hAnsi="Wingdings;sans-serif"/>
          <w:b/>
          <w:color w:val="000000"/>
          <w:sz w:val="20"/>
        </w:rPr>
        <w:t>o</w:t>
      </w: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from________to________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001-39748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PUBMATIC, INC.</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354" w:type="dxa"/>
        <w:jc w:val="left"/>
        <w:tblInd w:w="0" w:type="dxa"/>
        <w:tblLayout w:type="fixed"/>
        <w:tblCellMar>
          <w:top w:w="28" w:type="dxa"/>
          <w:left w:w="28" w:type="dxa"/>
          <w:bottom w:w="28" w:type="dxa"/>
          <w:right w:w="28" w:type="dxa"/>
        </w:tblCellMar>
      </w:tblPr>
      <w:tblGrid>
        <w:gridCol w:w="1795"/>
        <w:gridCol w:w="1577"/>
        <w:gridCol w:w="1593"/>
        <w:gridCol w:w="989"/>
        <w:gridCol w:w="989"/>
        <w:gridCol w:w="141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20-5863224</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tc>
        <w:tc>
          <w:tcPr>
            <w:tcW w:w="3389"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389"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6"/>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8354" w:type="dxa"/>
            <w:gridSpan w:val="6"/>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6"/>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6"/>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389" w:type="dxa"/>
            <w:gridSpan w:val="3"/>
            <w:tcBorders/>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389"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614" w:type="dxa"/>
        <w:jc w:val="left"/>
        <w:tblInd w:w="0" w:type="dxa"/>
        <w:tblLayout w:type="fixed"/>
        <w:tblCellMar>
          <w:top w:w="28" w:type="dxa"/>
          <w:left w:w="28" w:type="dxa"/>
          <w:bottom w:w="28" w:type="dxa"/>
          <w:right w:w="28" w:type="dxa"/>
        </w:tblCellMar>
      </w:tblPr>
      <w:tblGrid>
        <w:gridCol w:w="1550"/>
        <w:gridCol w:w="1362"/>
        <w:gridCol w:w="1378"/>
        <w:gridCol w:w="499"/>
        <w:gridCol w:w="499"/>
        <w:gridCol w:w="501"/>
        <w:gridCol w:w="1118"/>
        <w:gridCol w:w="1118"/>
        <w:gridCol w:w="1589"/>
      </w:tblGrid>
      <w:tr>
        <w:trPr/>
        <w:tc>
          <w:tcPr>
            <w:tcW w:w="155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1499"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PUBM</w:t>
            </w:r>
          </w:p>
        </w:tc>
        <w:tc>
          <w:tcPr>
            <w:tcW w:w="3825"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lineRule="auto" w:line="288" w:before="10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0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583"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April 30, 2026, the registrant had 38,180,751 shares of Class A common stock outstanding and 8,262,574 shares of Class B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center"/>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906" w:type="dxa"/>
        <w:jc w:val="left"/>
        <w:tblInd w:w="0" w:type="dxa"/>
        <w:tblLayout w:type="fixed"/>
        <w:tblCellMar>
          <w:top w:w="28" w:type="dxa"/>
          <w:left w:w="28" w:type="dxa"/>
          <w:bottom w:w="28" w:type="dxa"/>
          <w:right w:w="28" w:type="dxa"/>
        </w:tblCellMar>
      </w:tblPr>
      <w:tblGrid>
        <w:gridCol w:w="368"/>
        <w:gridCol w:w="322"/>
        <w:gridCol w:w="322"/>
        <w:gridCol w:w="2452"/>
        <w:gridCol w:w="2452"/>
        <w:gridCol w:w="2460"/>
        <w:gridCol w:w="441"/>
        <w:gridCol w:w="441"/>
        <w:gridCol w:w="648"/>
      </w:tblGrid>
      <w:tr>
        <w:trPr/>
        <w:tc>
          <w:tcPr>
            <w:tcW w:w="36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8894" w:type="dxa"/>
            <w:gridSpan w:val="6"/>
            <w:tcBorders/>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8894" w:type="dxa"/>
            <w:gridSpan w:val="6"/>
            <w:tcBorders/>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8894" w:type="dxa"/>
            <w:gridSpan w:val="6"/>
            <w:tcBorders/>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8894" w:type="dxa"/>
            <w:gridSpan w:val="6"/>
            <w:tcBorders/>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9906"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211">
              <w:r>
                <w:rPr>
                  <w:rStyle w:val="InternetLink"/>
                  <w:rFonts w:ascii="Times New Roman;serif" w:hAnsi="Times New Roman;serif"/>
                  <w:b/>
                  <w:color w:val="0000FF"/>
                  <w:sz w:val="20"/>
                  <w:u w:val="single"/>
                </w:rPr>
                <w:t>PART I - FINANCIAL INFORMATION</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214">
              <w:r>
                <w:rPr>
                  <w:rStyle w:val="InternetLink"/>
                  <w:rFonts w:ascii="Times New Roman;serif" w:hAnsi="Times New Roman;serif"/>
                  <w:b/>
                  <w:color w:val="0000FF"/>
                  <w:sz w:val="20"/>
                  <w:u w:val="single"/>
                </w:rPr>
                <w:t>Condensed Consolidated Financial Statements (Unaudited)</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214">
              <w:r>
                <w:rPr>
                  <w:rStyle w:val="InternetLink"/>
                  <w:rFonts w:ascii="Times New Roman;serif" w:hAnsi="Times New Roman;serif"/>
                  <w:b w:val="false"/>
                  <w:color w:val="0000FF"/>
                  <w:sz w:val="20"/>
                  <w:u w:val="single"/>
                </w:rPr>
                <w:t>1</w:t>
              </w:r>
            </w:hyperlink>
          </w:p>
        </w:tc>
      </w:tr>
      <w:tr>
        <w:trPr/>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217">
              <w:r>
                <w:rPr>
                  <w:rStyle w:val="InternetLink"/>
                  <w:rFonts w:ascii="Times New Roman;serif" w:hAnsi="Times New Roman;serif"/>
                  <w:b w:val="false"/>
                  <w:color w:val="0000FF"/>
                  <w:sz w:val="20"/>
                  <w:u w:val="single"/>
                </w:rPr>
                <w:t>Condensed Consolidated Balance Sheets</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217">
              <w:r>
                <w:rPr>
                  <w:rStyle w:val="InternetLink"/>
                  <w:rFonts w:ascii="Times New Roman;serif" w:hAnsi="Times New Roman;serif"/>
                  <w:b w:val="false"/>
                  <w:color w:val="0000FF"/>
                  <w:sz w:val="20"/>
                  <w:u w:val="single"/>
                </w:rPr>
                <w:t>1</w:t>
              </w:r>
            </w:hyperlink>
          </w:p>
        </w:tc>
      </w:tr>
      <w:tr>
        <w:trPr/>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220">
              <w:r>
                <w:rPr>
                  <w:rStyle w:val="InternetLink"/>
                  <w:rFonts w:ascii="Times New Roman;serif" w:hAnsi="Times New Roman;serif"/>
                  <w:b w:val="false"/>
                  <w:color w:val="0000FF"/>
                  <w:sz w:val="20"/>
                  <w:u w:val="single"/>
                </w:rPr>
                <w:t>Condensed Consolidated Statements of Operations</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220">
              <w:r>
                <w:rPr>
                  <w:rStyle w:val="InternetLink"/>
                  <w:rFonts w:ascii="Times New Roman;serif" w:hAnsi="Times New Roman;serif"/>
                  <w:b w:val="false"/>
                  <w:color w:val="0000FF"/>
                  <w:sz w:val="20"/>
                  <w:u w:val="single"/>
                </w:rPr>
                <w:t>2</w:t>
              </w:r>
            </w:hyperlink>
          </w:p>
        </w:tc>
      </w:tr>
      <w:tr>
        <w:trPr/>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226">
              <w:r>
                <w:rPr>
                  <w:rStyle w:val="InternetLink"/>
                  <w:rFonts w:ascii="Times New Roman;serif" w:hAnsi="Times New Roman;serif"/>
                  <w:b w:val="false"/>
                  <w:color w:val="0000FF"/>
                  <w:sz w:val="20"/>
                  <w:u w:val="single"/>
                </w:rPr>
                <w:t>Condensed Consolidated Statements of Comprehensive Loss</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226">
              <w:r>
                <w:rPr>
                  <w:rStyle w:val="InternetLink"/>
                  <w:rFonts w:ascii="Times New Roman;serif" w:hAnsi="Times New Roman;serif"/>
                  <w:b w:val="false"/>
                  <w:color w:val="0000FF"/>
                  <w:sz w:val="20"/>
                  <w:u w:val="single"/>
                </w:rPr>
                <w:t>3</w:t>
              </w:r>
            </w:hyperlink>
          </w:p>
        </w:tc>
      </w:tr>
      <w:tr>
        <w:trPr/>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232">
              <w:r>
                <w:rPr>
                  <w:rStyle w:val="InternetLink"/>
                  <w:rFonts w:ascii="Times New Roman;serif" w:hAnsi="Times New Roman;serif"/>
                  <w:b w:val="false"/>
                  <w:color w:val="0000FF"/>
                  <w:sz w:val="20"/>
                  <w:u w:val="single"/>
                </w:rPr>
                <w:t>Condensed Consolidated Statements of Stockholders’ Equity</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232">
              <w:r>
                <w:rPr>
                  <w:rStyle w:val="InternetLink"/>
                  <w:rFonts w:ascii="Times New Roman;serif" w:hAnsi="Times New Roman;serif"/>
                  <w:b w:val="false"/>
                  <w:color w:val="0000FF"/>
                  <w:sz w:val="20"/>
                  <w:u w:val="single"/>
                </w:rPr>
                <w:t>4</w:t>
              </w:r>
            </w:hyperlink>
          </w:p>
        </w:tc>
      </w:tr>
      <w:tr>
        <w:trPr/>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235">
              <w:r>
                <w:rPr>
                  <w:rStyle w:val="InternetLink"/>
                  <w:rFonts w:ascii="Times New Roman;serif" w:hAnsi="Times New Roman;serif"/>
                  <w:b w:val="false"/>
                  <w:color w:val="0000FF"/>
                  <w:sz w:val="20"/>
                  <w:u w:val="single"/>
                </w:rPr>
                <w:t>Condensed Consolidated Statements of Cash Flows</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235">
              <w:r>
                <w:rPr>
                  <w:rStyle w:val="InternetLink"/>
                  <w:rFonts w:ascii="Times New Roman;serif" w:hAnsi="Times New Roman;serif"/>
                  <w:b w:val="false"/>
                  <w:color w:val="0000FF"/>
                  <w:sz w:val="20"/>
                  <w:u w:val="single"/>
                </w:rPr>
                <w:t>5</w:t>
              </w:r>
            </w:hyperlink>
          </w:p>
        </w:tc>
      </w:tr>
      <w:tr>
        <w:trPr/>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238">
              <w:r>
                <w:rPr>
                  <w:rStyle w:val="InternetLink"/>
                  <w:rFonts w:ascii="Times New Roman;serif" w:hAnsi="Times New Roman;serif"/>
                  <w:b w:val="false"/>
                  <w:color w:val="0000FF"/>
                  <w:sz w:val="20"/>
                  <w:u w:val="single"/>
                </w:rPr>
                <w:t>Notes to Condensed Consolidated Financial Statements</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238">
              <w:r>
                <w:rPr>
                  <w:rStyle w:val="InternetLink"/>
                  <w:rFonts w:ascii="Times New Roman;serif" w:hAnsi="Times New Roman;serif"/>
                  <w:b w:val="false"/>
                  <w:color w:val="0000FF"/>
                  <w:sz w:val="20"/>
                  <w:u w:val="single"/>
                </w:rPr>
                <w:t>6</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29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295">
              <w:r>
                <w:rPr>
                  <w:rStyle w:val="InternetLink"/>
                  <w:rFonts w:ascii="Times New Roman;serif" w:hAnsi="Times New Roman;serif"/>
                  <w:b w:val="false"/>
                  <w:color w:val="0000FF"/>
                  <w:sz w:val="20"/>
                  <w:u w:val="single"/>
                </w:rPr>
                <w:t>17</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337">
              <w:r>
                <w:rPr>
                  <w:rStyle w:val="InternetLink"/>
                  <w:rFonts w:ascii="Times New Roman;serif" w:hAnsi="Times New Roman;serif"/>
                  <w:b w:val="false"/>
                  <w:color w:val="0000FF"/>
                  <w:sz w:val="20"/>
                  <w:u w:val="single"/>
                </w:rPr>
                <w:t>Quantitative and Qualitative Disclosures About Market Risk</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337">
              <w:r>
                <w:rPr>
                  <w:rStyle w:val="InternetLink"/>
                  <w:rFonts w:ascii="Times New Roman;serif" w:hAnsi="Times New Roman;serif"/>
                  <w:b w:val="false"/>
                  <w:color w:val="0000FF"/>
                  <w:sz w:val="20"/>
                  <w:u w:val="single"/>
                </w:rPr>
                <w:t>29</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340">
              <w:r>
                <w:rPr>
                  <w:rStyle w:val="InternetLink"/>
                  <w:rFonts w:ascii="Times New Roman;serif" w:hAnsi="Times New Roman;serif"/>
                  <w:b w:val="false"/>
                  <w:color w:val="0000FF"/>
                  <w:sz w:val="20"/>
                  <w:u w:val="single"/>
                </w:rPr>
                <w:t>Controls and Procedures</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340">
              <w:r>
                <w:rPr>
                  <w:rStyle w:val="InternetLink"/>
                  <w:rFonts w:ascii="Times New Roman;serif" w:hAnsi="Times New Roman;serif"/>
                  <w:b w:val="false"/>
                  <w:color w:val="0000FF"/>
                  <w:sz w:val="20"/>
                  <w:u w:val="single"/>
                </w:rPr>
                <w:t>29</w:t>
              </w:r>
            </w:hyperlink>
          </w:p>
        </w:tc>
      </w:tr>
      <w:tr>
        <w:trPr/>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6"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343">
              <w:r>
                <w:rPr>
                  <w:rStyle w:val="InternetLink"/>
                  <w:rFonts w:ascii="Times New Roman;serif" w:hAnsi="Times New Roman;serif"/>
                  <w:b/>
                  <w:color w:val="0000FF"/>
                  <w:sz w:val="20"/>
                  <w:u w:val="single"/>
                </w:rPr>
                <w:t>PART II - OTHER INFORMATION</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346">
              <w:r>
                <w:rPr>
                  <w:rStyle w:val="InternetLink"/>
                  <w:rFonts w:ascii="Times New Roman;serif" w:hAnsi="Times New Roman;serif"/>
                  <w:b w:val="false"/>
                  <w:color w:val="0000FF"/>
                  <w:sz w:val="20"/>
                  <w:u w:val="single"/>
                </w:rPr>
                <w:t>Legal Proceedings</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346">
              <w:r>
                <w:rPr>
                  <w:rStyle w:val="InternetLink"/>
                  <w:rFonts w:ascii="Times New Roman;serif" w:hAnsi="Times New Roman;serif"/>
                  <w:b w:val="false"/>
                  <w:color w:val="0000FF"/>
                  <w:sz w:val="20"/>
                  <w:u w:val="single"/>
                </w:rPr>
                <w:t>30</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349">
              <w:r>
                <w:rPr>
                  <w:rStyle w:val="InternetLink"/>
                  <w:rFonts w:ascii="Times New Roman;serif" w:hAnsi="Times New Roman;serif"/>
                  <w:b w:val="false"/>
                  <w:color w:val="0000FF"/>
                  <w:sz w:val="20"/>
                  <w:u w:val="single"/>
                </w:rPr>
                <w:t>Risk Factors</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349">
              <w:r>
                <w:rPr>
                  <w:rStyle w:val="InternetLink"/>
                  <w:rFonts w:ascii="Times New Roman;serif" w:hAnsi="Times New Roman;serif"/>
                  <w:b w:val="false"/>
                  <w:color w:val="0000FF"/>
                  <w:sz w:val="20"/>
                  <w:u w:val="single"/>
                </w:rPr>
                <w:t>30</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352">
              <w:r>
                <w:rPr>
                  <w:rStyle w:val="InternetLink"/>
                  <w:rFonts w:ascii="Times New Roman;serif" w:hAnsi="Times New Roman;serif"/>
                  <w:b w:val="false"/>
                  <w:color w:val="0000FF"/>
                  <w:sz w:val="20"/>
                  <w:u w:val="single"/>
                </w:rPr>
                <w:t>Unregistered Sales of Equity Securities and Use of Proceeds</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352">
              <w:r>
                <w:rPr>
                  <w:rStyle w:val="InternetLink"/>
                  <w:rFonts w:ascii="Times New Roman;serif" w:hAnsi="Times New Roman;serif"/>
                  <w:b w:val="false"/>
                  <w:color w:val="0000FF"/>
                  <w:sz w:val="20"/>
                  <w:u w:val="single"/>
                </w:rPr>
                <w:t>38</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355">
              <w:r>
                <w:rPr>
                  <w:rStyle w:val="InternetLink"/>
                  <w:rFonts w:ascii="Times New Roman;serif" w:hAnsi="Times New Roman;serif"/>
                  <w:b w:val="false"/>
                  <w:color w:val="0000FF"/>
                  <w:sz w:val="20"/>
                  <w:u w:val="single"/>
                </w:rPr>
                <w:t>Defaults Upon Senior Securities</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355">
              <w:r>
                <w:rPr>
                  <w:rStyle w:val="InternetLink"/>
                  <w:rFonts w:ascii="Times New Roman;serif" w:hAnsi="Times New Roman;serif"/>
                  <w:b w:val="false"/>
                  <w:color w:val="0000FF"/>
                  <w:sz w:val="20"/>
                  <w:u w:val="single"/>
                </w:rPr>
                <w:t>38</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358">
              <w:r>
                <w:rPr>
                  <w:rStyle w:val="InternetLink"/>
                  <w:rFonts w:ascii="Times New Roman;serif" w:hAnsi="Times New Roman;serif"/>
                  <w:b w:val="false"/>
                  <w:color w:val="0000FF"/>
                  <w:sz w:val="20"/>
                  <w:u w:val="single"/>
                </w:rPr>
                <w:t>Mine Safety Disclosures</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358">
              <w:r>
                <w:rPr>
                  <w:rStyle w:val="InternetLink"/>
                  <w:rFonts w:ascii="Times New Roman;serif" w:hAnsi="Times New Roman;serif"/>
                  <w:b w:val="false"/>
                  <w:color w:val="0000FF"/>
                  <w:sz w:val="20"/>
                  <w:u w:val="single"/>
                </w:rPr>
                <w:t>38</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361">
              <w:r>
                <w:rPr>
                  <w:rStyle w:val="InternetLink"/>
                  <w:rFonts w:ascii="Times New Roman;serif" w:hAnsi="Times New Roman;serif"/>
                  <w:b w:val="false"/>
                  <w:color w:val="0000FF"/>
                  <w:sz w:val="20"/>
                  <w:u w:val="single"/>
                </w:rPr>
                <w:t>Other Information</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361">
              <w:r>
                <w:rPr>
                  <w:rStyle w:val="InternetLink"/>
                  <w:rFonts w:ascii="Times New Roman;serif" w:hAnsi="Times New Roman;serif"/>
                  <w:b w:val="false"/>
                  <w:color w:val="0000FF"/>
                  <w:sz w:val="20"/>
                  <w:u w:val="single"/>
                </w:rPr>
                <w:t>39</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367">
              <w:r>
                <w:rPr>
                  <w:rStyle w:val="InternetLink"/>
                  <w:rFonts w:ascii="Times New Roman;serif" w:hAnsi="Times New Roman;serif"/>
                  <w:b w:val="false"/>
                  <w:color w:val="0000FF"/>
                  <w:sz w:val="20"/>
                  <w:u w:val="single"/>
                </w:rPr>
                <w:t>Exhibits</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367">
              <w:r>
                <w:rPr>
                  <w:rStyle w:val="InternetLink"/>
                  <w:rFonts w:ascii="Times New Roman;serif" w:hAnsi="Times New Roman;serif"/>
                  <w:b w:val="false"/>
                  <w:color w:val="0000FF"/>
                  <w:sz w:val="20"/>
                  <w:u w:val="single"/>
                </w:rPr>
                <w:t>40</w:t>
              </w:r>
            </w:hyperlink>
          </w:p>
        </w:tc>
      </w:tr>
      <w:tr>
        <w:trPr/>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b6b641e57d4f3284d2cde43463e0c4_370">
              <w:r>
                <w:rPr>
                  <w:rStyle w:val="InternetLink"/>
                  <w:rFonts w:ascii="Times New Roman;serif" w:hAnsi="Times New Roman;serif"/>
                  <w:b w:val="false"/>
                  <w:color w:val="0000FF"/>
                  <w:sz w:val="20"/>
                  <w:u w:val="single"/>
                </w:rPr>
                <w:t>Signatures</w:t>
              </w:r>
            </w:hyperlink>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6b6b641e57d4f3284d2cde43463e0c4_370">
              <w:r>
                <w:rPr>
                  <w:rStyle w:val="InternetLink"/>
                  <w:rFonts w:ascii="Times New Roman;serif" w:hAnsi="Times New Roman;serif"/>
                  <w:b w:val="false"/>
                  <w:color w:val="0000FF"/>
                  <w:sz w:val="20"/>
                  <w:u w:val="single"/>
                </w:rPr>
                <w:t>41</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PUBMATIC, INC. AND SUBSIDIARIES</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(In thousands, except par values)</w:t>
      </w:r>
    </w:p>
    <w:tbl>
      <w:tblPr>
        <w:tblW w:w="10205" w:type="dxa"/>
        <w:jc w:val="left"/>
        <w:tblInd w:w="0" w:type="dxa"/>
        <w:tblLayout w:type="fixed"/>
        <w:tblCellMar>
          <w:top w:w="28" w:type="dxa"/>
          <w:left w:w="28" w:type="dxa"/>
          <w:bottom w:w="28" w:type="dxa"/>
          <w:right w:w="28" w:type="dxa"/>
        </w:tblCellMar>
      </w:tblPr>
      <w:tblGrid>
        <w:gridCol w:w="3144"/>
        <w:gridCol w:w="2174"/>
        <w:gridCol w:w="2112"/>
        <w:gridCol w:w="109"/>
        <w:gridCol w:w="211"/>
        <w:gridCol w:w="826"/>
        <w:gridCol w:w="109"/>
        <w:gridCol w:w="109"/>
        <w:gridCol w:w="109"/>
        <w:gridCol w:w="109"/>
        <w:gridCol w:w="211"/>
        <w:gridCol w:w="826"/>
        <w:gridCol w:w="156"/>
      </w:tblGrid>
      <w:tr>
        <w:trPr/>
        <w:tc>
          <w:tcPr>
            <w:tcW w:w="314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504,177 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522,647 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 net</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680,195 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343,619 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375,850 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8)</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per share, 10,000 shares authorized as of March 31, 2026 and December 31, 2025; No shares issued and outstanding as of March 31, 2026 and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 1,000,000 Class A shares authorized as of March 31, 2026 and December 31, 2025; 51,752 shares issued and 38,297 shares outstanding as of March 31, 2026; 51,029 shares issued and 38,624 shares outstanding as of December 31, 2025; 1,000,000 Class B shares authorized as of March 31, 2026 and December 31, 2025; 11,403 shares issued and 8,263 shares outstanding as of March 31, 2026; 11,404 shares issued and 8,263 shares outstanding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16,595 and 15,546 shares as of March 31, 2026 and December 31, 2025,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659,441 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680,195 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54685"/>
                <wp:effectExtent l="0" t="0" r="0" b="0"/>
                <wp:wrapNone/>
                <wp:docPr id="3" name="Frame3"/>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PUBMATIC, INC. AND SUBSIDIARIES</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 xml:space="preserve">CONDENSED CONSOLIDATED STATEMENTS OF OPERATIONS </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(In thousands, except per share data)</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680"/>
        <w:gridCol w:w="2279"/>
        <w:gridCol w:w="2287"/>
        <w:gridCol w:w="211"/>
        <w:gridCol w:w="788"/>
        <w:gridCol w:w="109"/>
        <w:gridCol w:w="109"/>
        <w:gridCol w:w="109"/>
        <w:gridCol w:w="109"/>
        <w:gridCol w:w="211"/>
        <w:gridCol w:w="721"/>
        <w:gridCol w:w="109"/>
        <w:gridCol w:w="109"/>
        <w:gridCol w:w="109"/>
        <w:gridCol w:w="109"/>
        <w:gridCol w:w="156"/>
      </w:tblGrid>
      <w:tr>
        <w:trPr/>
        <w:tc>
          <w:tcPr>
            <w:tcW w:w="2680"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net loss per share of Class A and Class B stock</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loss per share of Class A and Class B stock</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share attributable to common stockholders:</w:t>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685"/>
                <wp:effectExtent l="0" t="0" r="0" b="0"/>
                <wp:wrapNone/>
                <wp:docPr id="4" name="Frame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PUBMATIC, INC. AND SUBSIDIARIES</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LOSS</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(Unaudited)</w:t>
      </w:r>
    </w:p>
    <w:tbl>
      <w:tblPr>
        <w:tblW w:w="7420" w:type="dxa"/>
        <w:jc w:val="left"/>
        <w:tblInd w:w="0" w:type="dxa"/>
        <w:tblLayout w:type="fixed"/>
        <w:tblCellMar>
          <w:top w:w="28" w:type="dxa"/>
          <w:left w:w="28" w:type="dxa"/>
          <w:bottom w:w="28" w:type="dxa"/>
          <w:right w:w="28" w:type="dxa"/>
        </w:tblCellMar>
      </w:tblPr>
      <w:tblGrid>
        <w:gridCol w:w="1625"/>
        <w:gridCol w:w="1417"/>
        <w:gridCol w:w="1443"/>
        <w:gridCol w:w="211"/>
        <w:gridCol w:w="796"/>
        <w:gridCol w:w="109"/>
        <w:gridCol w:w="109"/>
        <w:gridCol w:w="109"/>
        <w:gridCol w:w="109"/>
        <w:gridCol w:w="211"/>
        <w:gridCol w:w="691"/>
        <w:gridCol w:w="109"/>
        <w:gridCol w:w="109"/>
        <w:gridCol w:w="109"/>
        <w:gridCol w:w="109"/>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foreign currency translation adjustment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685"/>
                <wp:effectExtent l="0" t="0" r="0" b="0"/>
                <wp:wrapNone/>
                <wp:docPr id="5" name="Frame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PUBMATIC, INC. AND SUBSIDIARIES</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(Unaudited)</w:t>
      </w:r>
    </w:p>
    <w:tbl>
      <w:tblPr>
        <w:tblW w:w="10781" w:type="dxa"/>
        <w:jc w:val="left"/>
        <w:tblInd w:w="0" w:type="dxa"/>
        <w:tblLayout w:type="fixed"/>
        <w:tblCellMar>
          <w:top w:w="28" w:type="dxa"/>
          <w:left w:w="28" w:type="dxa"/>
          <w:bottom w:w="28" w:type="dxa"/>
          <w:right w:w="28" w:type="dxa"/>
        </w:tblCellMar>
      </w:tblPr>
      <w:tblGrid>
        <w:gridCol w:w="757"/>
        <w:gridCol w:w="296"/>
        <w:gridCol w:w="298"/>
        <w:gridCol w:w="360"/>
        <w:gridCol w:w="361"/>
        <w:gridCol w:w="196"/>
        <w:gridCol w:w="109"/>
        <w:gridCol w:w="109"/>
        <w:gridCol w:w="109"/>
        <w:gridCol w:w="253"/>
        <w:gridCol w:w="307"/>
        <w:gridCol w:w="131"/>
        <w:gridCol w:w="109"/>
        <w:gridCol w:w="109"/>
        <w:gridCol w:w="109"/>
        <w:gridCol w:w="211"/>
        <w:gridCol w:w="841"/>
        <w:gridCol w:w="109"/>
        <w:gridCol w:w="109"/>
        <w:gridCol w:w="109"/>
        <w:gridCol w:w="109"/>
        <w:gridCol w:w="211"/>
        <w:gridCol w:w="826"/>
        <w:gridCol w:w="109"/>
        <w:gridCol w:w="109"/>
        <w:gridCol w:w="109"/>
        <w:gridCol w:w="109"/>
        <w:gridCol w:w="368"/>
        <w:gridCol w:w="656"/>
        <w:gridCol w:w="192"/>
        <w:gridCol w:w="109"/>
        <w:gridCol w:w="109"/>
        <w:gridCol w:w="109"/>
        <w:gridCol w:w="211"/>
        <w:gridCol w:w="826"/>
        <w:gridCol w:w="109"/>
        <w:gridCol w:w="109"/>
        <w:gridCol w:w="109"/>
        <w:gridCol w:w="109"/>
        <w:gridCol w:w="211"/>
        <w:gridCol w:w="82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Treasury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Stockholders’ 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46,887 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RSU vesting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46,560 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(202,296)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10781" w:type="dxa"/>
        <w:jc w:val="left"/>
        <w:tblInd w:w="0" w:type="dxa"/>
        <w:tblLayout w:type="fixed"/>
        <w:tblCellMar>
          <w:top w:w="28" w:type="dxa"/>
          <w:left w:w="28" w:type="dxa"/>
          <w:bottom w:w="28" w:type="dxa"/>
          <w:right w:w="28" w:type="dxa"/>
        </w:tblCellMar>
      </w:tblPr>
      <w:tblGrid>
        <w:gridCol w:w="757"/>
        <w:gridCol w:w="296"/>
        <w:gridCol w:w="298"/>
        <w:gridCol w:w="360"/>
        <w:gridCol w:w="361"/>
        <w:gridCol w:w="196"/>
        <w:gridCol w:w="109"/>
        <w:gridCol w:w="109"/>
        <w:gridCol w:w="109"/>
        <w:gridCol w:w="253"/>
        <w:gridCol w:w="307"/>
        <w:gridCol w:w="131"/>
        <w:gridCol w:w="109"/>
        <w:gridCol w:w="109"/>
        <w:gridCol w:w="109"/>
        <w:gridCol w:w="211"/>
        <w:gridCol w:w="841"/>
        <w:gridCol w:w="109"/>
        <w:gridCol w:w="109"/>
        <w:gridCol w:w="109"/>
        <w:gridCol w:w="109"/>
        <w:gridCol w:w="211"/>
        <w:gridCol w:w="826"/>
        <w:gridCol w:w="109"/>
        <w:gridCol w:w="109"/>
        <w:gridCol w:w="109"/>
        <w:gridCol w:w="109"/>
        <w:gridCol w:w="320"/>
        <w:gridCol w:w="730"/>
        <w:gridCol w:w="166"/>
        <w:gridCol w:w="109"/>
        <w:gridCol w:w="109"/>
        <w:gridCol w:w="109"/>
        <w:gridCol w:w="211"/>
        <w:gridCol w:w="826"/>
        <w:gridCol w:w="109"/>
        <w:gridCol w:w="109"/>
        <w:gridCol w:w="109"/>
        <w:gridCol w:w="109"/>
        <w:gridCol w:w="211"/>
        <w:gridCol w:w="82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Treasury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Stockholders’ 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RSU vesting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48,317 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PUBMATIC, INC. AND SUBSIDIARIES</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757"/>
        <w:gridCol w:w="2388"/>
        <w:gridCol w:w="2394"/>
        <w:gridCol w:w="211"/>
        <w:gridCol w:w="826"/>
        <w:gridCol w:w="109"/>
        <w:gridCol w:w="109"/>
        <w:gridCol w:w="109"/>
        <w:gridCol w:w="109"/>
        <w:gridCol w:w="211"/>
        <w:gridCol w:w="826"/>
        <w:gridCol w:w="156"/>
      </w:tblGrid>
      <w:tr>
        <w:trPr/>
        <w:tc>
          <w:tcPr>
            <w:tcW w:w="2757"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 on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non-current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equity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to acquire treasury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NON-CASH INVESTING AND FINANCING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capitalized as internal-use software costs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included in 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costs included in 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7" name="Frame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PUBMATIC, INC. AND SUBSIDIARIES</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 Organization and Description of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PubMatic, Inc. (together with its subsidiaries, the “Company” or “PubMatic”) was founded in 2006. The Company has offices worldwide. The Company provides a specialized cloud infrastructure platform that enables real-time programmatic advertising transactions. The purpose-built technology and infrastructure provides superior outcomes for both publishers and advertisers leveraging an efficient design, machine learning, and data processing capabilities, with customer alignment and global omnichannel reach.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 Basis of Presentation and Summary of Significant Accounting Policies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fiscal year ends on December 31, and its fiscal quarters end on March 31, June 30, September 30, and December 31. References to fiscal year 2026, for example, refer to the fiscal year ending December 31, 2026.</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Unaudited Interim Condensed Consolidated Financial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accounts of PubMatic, Inc. and its wholly 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2026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2025, as filed with the SEC on February 26, 2026 (the “Annual Report”).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GAAP. The accompanying condensed consolidated financial statements include the accounts of PubMatic, Inc. and its wholly-owned subsidiaries. All intercompany accounts and transactions have been eliminated in consolidation.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its estimates and assumptions on an ongoing basis using historical experience and other factors, and adjusts those estimates and assumptions when facts and circumstances dictate. Actual results could materially differ from those estimates and assumptions. Due to the inherent uncertainty involved in making assumptions and estimates, events and changes in circumstances arising after March 31, 2026 may result in actual outcomes that differ from those contemplated by the Company’s assumptions and estimates.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Equity Investment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holds strategic investments in privately held, non-marketable equity securities. The Company’s non-marketable equity investment is without a readily determinable fair value and therefore is accounted for using the measurement alternative. Non-marketable equity investments accounted for using the measurement alternative are recorded at cost, less any impairment, and are adjusted for changes in fair value resulting from observable transactions for identical or similar investments of the same issuer as of the respective transaction dates.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periodically reviews its non-marketable equity investments for impairment. When indicators of impairment exist and the estimated fair value of an investment is below its carrying amount, a write down of the investment to its fair value is recorded in other income (expense), net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1460"/>
                <wp:effectExtent l="0" t="0" r="0" b="0"/>
                <wp:wrapNone/>
                <wp:docPr id="8" name="Frame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Concentration of Revenue and Accounts Receivable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defines its revenue concentration based on revenue recognized from individual publishers. For the three months ended March 31, 2026 and 2025, no publisher represented more than 10% of the Company’s revenue. As of March 31, 2026, three buyers accounted for 32%, 16%, and 14%, respectively, of accounts receivable. As of December 31, 2025, three buyers accounted for 24%, 16%, and 14%, respectively, of accounts receivable.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Accounts Receivable and Allowance for Credit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receivable are recorded at the invoiced amount, are unsecured, and do not bear interest. The allowance for credit losses is based on the best estimate of the amount of probable credit losses in existing accounts receivable. The allowance for credit losses is determined based on historical collection experience and the review in each period of the status of the then outstanding accounts receivable, while taking into consideration current customer information, collection history, and other relevant data. Account balances are written off against the allowance when the Company believes it is probable the receivable will not be recovered.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allowance for credit losses (in thousands):</w:t>
      </w:r>
    </w:p>
    <w:tbl>
      <w:tblPr>
        <w:tblW w:w="6779" w:type="dxa"/>
        <w:jc w:val="left"/>
        <w:tblInd w:w="0" w:type="dxa"/>
        <w:tblLayout w:type="fixed"/>
        <w:tblCellMar>
          <w:top w:w="28" w:type="dxa"/>
          <w:left w:w="28" w:type="dxa"/>
          <w:bottom w:w="28" w:type="dxa"/>
          <w:right w:w="28" w:type="dxa"/>
        </w:tblCellMar>
      </w:tblPr>
      <w:tblGrid>
        <w:gridCol w:w="1413"/>
        <w:gridCol w:w="1239"/>
        <w:gridCol w:w="1247"/>
        <w:gridCol w:w="230"/>
        <w:gridCol w:w="672"/>
        <w:gridCol w:w="119"/>
        <w:gridCol w:w="119"/>
        <w:gridCol w:w="119"/>
        <w:gridCol w:w="119"/>
        <w:gridCol w:w="230"/>
        <w:gridCol w:w="672"/>
        <w:gridCol w:w="119"/>
        <w:gridCol w:w="109"/>
        <w:gridCol w:w="109"/>
        <w:gridCol w:w="109"/>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beginning balance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provision for expected credit losses</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ending balance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(Topic 326) - Measurement of Credit Losses for Accounts Receivable and Contract Assets” ("ASU 2025-05"), which provides a practical expedient to measure credit losses on current accounts receivable. The practical expedient allows companies to assume that current conditions as of the balance sheet date do not change for the remaining life of the asset when measuring credit losses. ASU 2025-05 is effective for annual periods beginning after December 15, 2025 and for interim periods within those annual reporting periods on a prospective basis. The Company adopted ASU 2025-05 on January 1, 2026. The adoption of this guidance did not have a material impact on the Company’s consolidated financial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will be effective for fiscal years beginning after December 15, 2026, and for interim periods beginning after December 15, 2027, with early adoption permitted. The Company is currently evaluating the impact adopting ASU 2024-03 will have on its financial statement disclosures.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(the “ASU 2025-06”), simplifies the capitalization guidance by removing all references to prescriptive and sequential software development project stages so that the guidance is neutral to different software development methods. ASU 2025-06 will be effective for annual periods beginning after December 15, 2027. The Company is currently evaluating the impact of this accounting standard on its consolidated financial statements and disclosures.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2025-11, “Interim Reporting (Topic 270): Narrow-Scope Improvements” (the “ASU 2025-11”), which clarifies interim disclosure requirements and the applicability of Topic 270. The guidance will be effective for interim periods beginning January 1, 2028. Early adoption is permitted. Upon adoption, the guidance can be applied prospectively or retrospectively. The Company does not expect the adoption of this guidance to have a material impact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1460"/>
                <wp:effectExtent l="0" t="0" r="0" b="0"/>
                <wp:wrapNone/>
                <wp:docPr id="9" name="Frame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3 – Fair Value Measurements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the fair value of the Company’s financial assets and liabilities measured on a recurring basis by level within the fair value hierarchy (in thousands): </w:t>
      </w:r>
    </w:p>
    <w:tbl>
      <w:tblPr>
        <w:tblW w:w="7200" w:type="dxa"/>
        <w:jc w:val="left"/>
        <w:tblInd w:w="0" w:type="dxa"/>
        <w:tblLayout w:type="fixed"/>
        <w:tblCellMar>
          <w:top w:w="28" w:type="dxa"/>
          <w:left w:w="28" w:type="dxa"/>
          <w:bottom w:w="28" w:type="dxa"/>
          <w:right w:w="28" w:type="dxa"/>
        </w:tblCellMar>
      </w:tblPr>
      <w:tblGrid>
        <w:gridCol w:w="689"/>
        <w:gridCol w:w="606"/>
        <w:gridCol w:w="610"/>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consist of Level 1, Level 2, and Level 3 assets. The Company classifies its cash equivalents within Level 1 or Level 2 because they are valued using either quoted market prices or inputs other than quoted prices which are directly or indirectly observable in the market, including readily-available pricing sources for the identical underlying security which may not be actively traded. Certain other assets are classified within Level 3 because factors used to develop the estimated fair value are unobservable inputs that are not supported by market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 Balance Sheet Components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Property, Equipment and Software, Net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equipment and software, net consisted of the following (in thousands):</w:t>
      </w:r>
    </w:p>
    <w:tbl>
      <w:tblPr>
        <w:tblW w:w="6931" w:type="dxa"/>
        <w:jc w:val="left"/>
        <w:tblInd w:w="0" w:type="dxa"/>
        <w:tblLayout w:type="fixed"/>
        <w:tblCellMar>
          <w:top w:w="28" w:type="dxa"/>
          <w:left w:w="28" w:type="dxa"/>
          <w:bottom w:w="28" w:type="dxa"/>
          <w:right w:w="28" w:type="dxa"/>
        </w:tblCellMar>
      </w:tblPr>
      <w:tblGrid>
        <w:gridCol w:w="1600"/>
        <w:gridCol w:w="1408"/>
        <w:gridCol w:w="1416"/>
        <w:gridCol w:w="211"/>
        <w:gridCol w:w="721"/>
        <w:gridCol w:w="109"/>
        <w:gridCol w:w="109"/>
        <w:gridCol w:w="109"/>
        <w:gridCol w:w="109"/>
        <w:gridCol w:w="221"/>
        <w:gridCol w:w="757"/>
        <w:gridCol w:w="161"/>
      </w:tblGrid>
      <w:tr>
        <w:trPr/>
        <w:tc>
          <w:tcPr>
            <w:tcW w:w="16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89,161 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hardware, computer equipment and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gross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(197,867)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equipment and software,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52,657 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related to property, equipment, and software (excluding amortization of internal-use software) was $3.5 million and $5.8 million for the three months ended March 31, 2026 and 2025,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capitalized $5.4 million and $6.1 million in software development costs during the three months ended March 31, 2026 and 2025, respectively. Amortization expense of internal-use software was $6.1 million and $5.5 million during the three months ended March 31, 2026 and 2025, respectively. These costs are included within cost of revenue in the condensed consolidated statements of operations.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did not recognize any impairment charges on its long-lived assets during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51460"/>
                <wp:effectExtent l="0" t="0" r="0" b="0"/>
                <wp:wrapNone/>
                <wp:docPr id="10" name="Frame1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Accounts Payable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payable consisted of the following (in thousands):</w:t>
      </w:r>
    </w:p>
    <w:tbl>
      <w:tblPr>
        <w:tblW w:w="4824" w:type="dxa"/>
        <w:jc w:val="left"/>
        <w:tblInd w:w="0" w:type="dxa"/>
        <w:tblLayout w:type="fixed"/>
        <w:tblCellMar>
          <w:top w:w="28" w:type="dxa"/>
          <w:left w:w="28" w:type="dxa"/>
          <w:bottom w:w="28" w:type="dxa"/>
          <w:right w:w="28" w:type="dxa"/>
        </w:tblCellMar>
      </w:tblPr>
      <w:tblGrid>
        <w:gridCol w:w="782"/>
        <w:gridCol w:w="688"/>
        <w:gridCol w:w="690"/>
        <w:gridCol w:w="211"/>
        <w:gridCol w:w="826"/>
        <w:gridCol w:w="109"/>
        <w:gridCol w:w="109"/>
        <w:gridCol w:w="109"/>
        <w:gridCol w:w="109"/>
        <w:gridCol w:w="211"/>
        <w:gridCol w:w="82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publishers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payables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343,619 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Accrued Liabilities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 (in thousands):</w:t>
      </w:r>
    </w:p>
    <w:tbl>
      <w:tblPr>
        <w:tblW w:w="5552" w:type="dxa"/>
        <w:jc w:val="left"/>
        <w:tblInd w:w="0" w:type="dxa"/>
        <w:tblLayout w:type="fixed"/>
        <w:tblCellMar>
          <w:top w:w="28" w:type="dxa"/>
          <w:left w:w="28" w:type="dxa"/>
          <w:bottom w:w="28" w:type="dxa"/>
          <w:right w:w="28" w:type="dxa"/>
        </w:tblCellMar>
      </w:tblPr>
      <w:tblGrid>
        <w:gridCol w:w="1103"/>
        <w:gridCol w:w="968"/>
        <w:gridCol w:w="974"/>
        <w:gridCol w:w="211"/>
        <w:gridCol w:w="721"/>
        <w:gridCol w:w="109"/>
        <w:gridCol w:w="109"/>
        <w:gridCol w:w="109"/>
        <w:gridCol w:w="109"/>
        <w:gridCol w:w="221"/>
        <w:gridCol w:w="757"/>
        <w:gridCol w:w="161"/>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19,583 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25,278 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 Senior Secured Credit Facilities Agreement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17, 2022, the Company entered into a Senior Secured Credit Facilities Credit Agreement (the “Credit Agreement”) with the several lenders parties thereto (the “Lenders”), and Silicon Valley Bank (“SVB”), as administrative agent, lead arranger, issuing lender, and swingline lender. The Credit Agreement matures on October 17, 2027.</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provides a revolving credit facility in an aggregate principal amount of $110.0 million (“the Revolving Credit Facility”), including a $25.0 million letter of credit sub-facility and a $25.0 million swingline sub-facility. The Company’s obligations under the Revolving Credit Facility and the letter of credit sub-facility (described in Note 8) with SVB are secured by substantially all of its assets excluding its intellectual property. The Company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Revolving Credit Facility will accrue interest at rates equal, at the Company’s election, to (i) the applicable secured overnight financing rate (“SOFR”),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 plus the applicable margin for such loans. The applicable margin for borrowings bearing interest on the SOFR ranges from 2.00% to 2.75%, and the applicable margin for borrowings bearing interest based on the ABR ranges from 1.00% to 1.75%. As of March 31, 2026, the applicable interest rate under the revolving credit facility was 7.75%. The Company will pay a quarterly commitment fee during the term of the Credit Agreement for the non-use of available funds ranging from 0.25% to 0.35%. In addition, the Credit Agreement provides a mechanism to determine a successor reference rate to the applicable reference rate if, among other things, the applicable reference rate becomes unavailable or is generally replaced as a benchmark interest rate.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representations and warranties as well as customary affirmative and negative covenants. Negative covenants include, among others, limitations on incurrence of indebtedness, liens, disposition of property and investments by the Company and its subsidiaries. In addition, the Credit Agreement requires the Company to maintain certain interest coverage, leverage and senior leverage ratios. To date, the Company is in compliance with the affirmative and negative covenants.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events of default. Upon the occurrence and during the continuance of an event of default, the Lenders may declare the outstanding advances and all other obligations under the Credit Agreement immediately due and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1460"/>
                <wp:effectExtent l="0" t="0" r="0" b="0"/>
                <wp:wrapNone/>
                <wp:docPr id="11" name="Frame1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may use amounts borrowed under the Credit Agreement for general corporate purposes or working capital financing. The Company may borrow additional amounts under the Credit Agreement from time to time as opportunities and needs arise. As of March 31, 2026, the Company has not drawn down on the credit facility.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SVB closure by the California Department of Financial Protection and Innovation on March 10, 2023, and its subsequent receivership by the Federal Deposit Insurance Corporation (“FDIC”), the FDIC announced that all of SVB’s deposits and substantially all of its assets had been transferred to a newly created, full-service FDIC-operated bridge bank, Silicon Valley Bridge Bank, N.A. (“SVBB”). On March 27, 2023, First Citizens Bank &amp; Trust Company (“First Citizens”) acquired substantially all of the loans and certain other assets of the former SVB, and assumed all customer deposits and certain other liabilities of the former SVB. As such, First Citizen assumed SVB’s obligations under the Credit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6 – Leases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 cost is recognized on a straight-line basis over the lease term. Finance lease cost is recognized as a combination of the amortization expense for the right-of-use assets and interest expense for the outstanding lease liabilities, and results in a front-loaded expense pattern over the lease term. Short-term and variable lease costs are not material to the Company’s condensed consolidated financial statements.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 were as follows (in thousands):</w:t>
      </w:r>
    </w:p>
    <w:tbl>
      <w:tblPr>
        <w:tblW w:w="4635" w:type="dxa"/>
        <w:jc w:val="left"/>
        <w:tblInd w:w="0" w:type="dxa"/>
        <w:tblLayout w:type="fixed"/>
        <w:tblCellMar>
          <w:top w:w="28" w:type="dxa"/>
          <w:left w:w="28" w:type="dxa"/>
          <w:bottom w:w="28" w:type="dxa"/>
          <w:right w:w="28" w:type="dxa"/>
        </w:tblCellMar>
      </w:tblPr>
      <w:tblGrid>
        <w:gridCol w:w="635"/>
        <w:gridCol w:w="558"/>
        <w:gridCol w:w="562"/>
        <w:gridCol w:w="230"/>
        <w:gridCol w:w="672"/>
        <w:gridCol w:w="119"/>
        <w:gridCol w:w="119"/>
        <w:gridCol w:w="119"/>
        <w:gridCol w:w="119"/>
        <w:gridCol w:w="230"/>
        <w:gridCol w:w="672"/>
        <w:gridCol w:w="119"/>
        <w:gridCol w:w="109"/>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a weighted average discount rate of 5.37% and 2.24% has been applied to the remaining operating and finance lease payments, respectively, to calculate the lease liabilities included within the condensed consolidated balance sheets. The weighted average remaining lease term of operating and finance leases is 7.3 and 2.0 years, respectively, as of March 31,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maturities of lease liabilities under operating and finance leases were as follows (in thousands):</w:t>
      </w:r>
    </w:p>
    <w:tbl>
      <w:tblPr>
        <w:tblW w:w="7454" w:type="dxa"/>
        <w:jc w:val="left"/>
        <w:tblInd w:w="0" w:type="dxa"/>
        <w:tblLayout w:type="fixed"/>
        <w:tblCellMar>
          <w:top w:w="28" w:type="dxa"/>
          <w:left w:w="28" w:type="dxa"/>
          <w:bottom w:w="28" w:type="dxa"/>
          <w:right w:w="28" w:type="dxa"/>
        </w:tblCellMar>
      </w:tblPr>
      <w:tblGrid>
        <w:gridCol w:w="1145"/>
        <w:gridCol w:w="1006"/>
        <w:gridCol w:w="1013"/>
        <w:gridCol w:w="276"/>
        <w:gridCol w:w="946"/>
        <w:gridCol w:w="143"/>
        <w:gridCol w:w="109"/>
        <w:gridCol w:w="109"/>
        <w:gridCol w:w="109"/>
        <w:gridCol w:w="318"/>
        <w:gridCol w:w="703"/>
        <w:gridCol w:w="164"/>
        <w:gridCol w:w="109"/>
        <w:gridCol w:w="109"/>
        <w:gridCol w:w="109"/>
        <w:gridCol w:w="211"/>
        <w:gridCol w:w="72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52,799 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liabilities</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42,380 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51460"/>
                <wp:effectExtent l="0" t="0" r="0" b="0"/>
                <wp:wrapNone/>
                <wp:docPr id="12" name="Frame1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7 – Acquisition-related Intangible Assets, Net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Acquisition-related Intangible Assets, Net</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Acquisition-related intangible assets, net consisted of the following (in thousands):</w:t>
      </w:r>
    </w:p>
    <w:tbl>
      <w:tblPr>
        <w:tblW w:w="9879" w:type="dxa"/>
        <w:jc w:val="left"/>
        <w:tblInd w:w="0" w:type="dxa"/>
        <w:tblLayout w:type="fixed"/>
        <w:tblCellMar>
          <w:top w:w="28" w:type="dxa"/>
          <w:left w:w="28" w:type="dxa"/>
          <w:bottom w:w="28" w:type="dxa"/>
          <w:right w:w="28" w:type="dxa"/>
        </w:tblCellMar>
      </w:tblPr>
      <w:tblGrid>
        <w:gridCol w:w="1278"/>
        <w:gridCol w:w="1120"/>
        <w:gridCol w:w="1127"/>
        <w:gridCol w:w="422"/>
        <w:gridCol w:w="1235"/>
        <w:gridCol w:w="218"/>
        <w:gridCol w:w="109"/>
        <w:gridCol w:w="109"/>
        <w:gridCol w:w="109"/>
        <w:gridCol w:w="465"/>
        <w:gridCol w:w="1362"/>
        <w:gridCol w:w="243"/>
        <w:gridCol w:w="109"/>
        <w:gridCol w:w="109"/>
        <w:gridCol w:w="109"/>
        <w:gridCol w:w="377"/>
        <w:gridCol w:w="1103"/>
        <w:gridCol w:w="275"/>
      </w:tblGrid>
      <w:tr>
        <w:trPr/>
        <w:tc>
          <w:tcPr>
            <w:tcW w:w="127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acquisition-related intangible assets</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5,196 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acquisition-related intangible assets</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5,196 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useful life of developed technology was 1.5 years as of March 31, 2026. Amortization expense related to acquisition-related intangibles was $0.4 million for each of the three months ended March 31, 2026 and 2025,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estimated future amortization expense for acquisition-related intangible assets was as follows (in thousands):</w:t>
      </w:r>
    </w:p>
    <w:tbl>
      <w:tblPr>
        <w:tblW w:w="8319" w:type="dxa"/>
        <w:jc w:val="left"/>
        <w:tblInd w:w="0" w:type="dxa"/>
        <w:tblLayout w:type="fixed"/>
        <w:tblCellMar>
          <w:top w:w="28" w:type="dxa"/>
          <w:left w:w="28" w:type="dxa"/>
          <w:bottom w:w="28" w:type="dxa"/>
          <w:right w:w="28" w:type="dxa"/>
        </w:tblCellMar>
      </w:tblPr>
      <w:tblGrid>
        <w:gridCol w:w="2616"/>
        <w:gridCol w:w="2298"/>
        <w:gridCol w:w="2315"/>
        <w:gridCol w:w="109"/>
        <w:gridCol w:w="211"/>
        <w:gridCol w:w="616"/>
        <w:gridCol w:w="154"/>
      </w:tblGrid>
      <w:tr>
        <w:trPr/>
        <w:tc>
          <w:tcPr>
            <w:tcW w:w="2616"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estimated future amortization expense for acquisition-related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 8 – Commitments and Contingencies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purchase obligations primarily relate to minimum contractual payments due to data center providers. During the three months ended March 31, 2026, there were no material changes to the Company’s non-cancelable purchase obligations disclosed in the Company’s Annual Report on Form 10-K for the fiscal year ended December 31,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Letters of Credit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three irrevocable letters of credit outstanding related to non-cancelable facilities leases in the amounts of $3.5 million, $1.5 million, and $0.2 million, with annual automatic renewal and final expiration dates in July 2028, April 2036, and September 2031, respectively.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or may be involved in various claims and other legal matters arising in the normal course of business. The Company records an accrual for a liability relating to claims and other legal matters when it is both probable that a liability has been incurred and the amount of the loss can be reasonably estimated. Any such accruals are reviewed at least quarterly and adjusted for the impacts of negotiations, rulings, settlements, and other information or events pertaining to a particular matter, or on the advice of legal counsel. To date, the Company has not incurred a material loss, or a material loss in excess of a recorded accrual, with respect to any claims and other legal matters arising in the normal course of business. However, the outcomes of claims and other legal matters are inherently unpredictable and subject to significant uncertainties. If the Company subsequently concludes that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51460"/>
                <wp:effectExtent l="0" t="0" r="0" b="0"/>
                <wp:wrapNone/>
                <wp:docPr id="13" name="Frame1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 Stockholders’ Equity and Equity Incentive Plans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2023, the Company’s board of directors authorized the Company to repurchase up to $75 million of its Class A common stock (as amended, the “2023 Repurchase Program”). In February 2024, the Company’s board of directors authorized the Company to repurchase up to an additional $100 million of its Class A common stock under the 2023 Repurchase Program (the “2024 Repurchase Program Extension”) in addition to the $75 million previously authorized under the 2023 Repurchase Program, and extended the expiration of the 2023 Repurchase Program to December 31, 2025. In May 2025, the Company’s board of directors authorized the Company to repurchase up to an additional $100 million of its Class A common stock under the 2023 Repurchase Program (the “2025 Repurchase Program Extension”) in addition to the aggregate $175 million previously authorized under the 2023 Repurchase Program, and extended the expiration of the 2023 Repurchase Program to December 31, 2026. As of March 31, 2026, $85.1 million remains available for repurchases. Shares are repurchased in a manner deemed in the best interest of the Company and its stockholders, dependent upon business, economic and market conditions, corporate and regulatory requirements, prevailing stock prices and other considerations.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repurchased 1,048,650 aggregate shares of Class A common stock for $8.8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Repurchases are executed from time to time, subject to general business and market conditions and other investment opportunities, through open market purchases or privately negotiated transactions, in accordance with Rule 10b-18 and/or Rule 10b5-1 of the Exchange Act. The 2023 Repurchase Program, as amended, is scheduled to terminate on December 31, 2026.</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the 2020 Equity Incentive Plan (“2020 Plan”), pursuant to which the Company may grant stock options, restricted stock awards, stock appreciation rights, restricted stock units (“RSUs”), deferred stock units (“DSUs”) performance awards, and stock bonus awards. As of March 31, 2026, the Company has reserved 1,976,849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 No new awards were issued under the Company’s prior 2006 Plan or 2017 Plan (“Prior Plans”) after the effective date of the 2020 Plan. To the extent outstanding awards under the 2006 Plan and the 2017 Plan are forfeited, expire unexercised, or would otherwise have been returned to the share reserve under the Prior Plans, the shares of Class B common stock subject to such awards instead will be available for future issuance as Class A common stock under the 2020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51460"/>
                <wp:effectExtent l="0" t="0" r="0" b="0"/>
                <wp:wrapNone/>
                <wp:docPr id="14" name="Frame1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and related information under the Company’s equity incentive plans:</w:t>
      </w:r>
    </w:p>
    <w:tbl>
      <w:tblPr>
        <w:tblW w:w="10205" w:type="dxa"/>
        <w:jc w:val="left"/>
        <w:tblInd w:w="0" w:type="dxa"/>
        <w:tblLayout w:type="fixed"/>
        <w:tblCellMar>
          <w:top w:w="28" w:type="dxa"/>
          <w:left w:w="28" w:type="dxa"/>
          <w:bottom w:w="28" w:type="dxa"/>
          <w:right w:w="28" w:type="dxa"/>
        </w:tblCellMar>
      </w:tblPr>
      <w:tblGrid>
        <w:gridCol w:w="693"/>
        <w:gridCol w:w="608"/>
        <w:gridCol w:w="611"/>
        <w:gridCol w:w="618"/>
        <w:gridCol w:w="618"/>
        <w:gridCol w:w="620"/>
        <w:gridCol w:w="109"/>
        <w:gridCol w:w="109"/>
        <w:gridCol w:w="109"/>
        <w:gridCol w:w="403"/>
        <w:gridCol w:w="1179"/>
        <w:gridCol w:w="209"/>
        <w:gridCol w:w="109"/>
        <w:gridCol w:w="109"/>
        <w:gridCol w:w="109"/>
        <w:gridCol w:w="655"/>
        <w:gridCol w:w="655"/>
        <w:gridCol w:w="657"/>
        <w:gridCol w:w="109"/>
        <w:gridCol w:w="109"/>
        <w:gridCol w:w="109"/>
        <w:gridCol w:w="328"/>
        <w:gridCol w:w="1123"/>
        <w:gridCol w:w="247"/>
      </w:tblGrid>
      <w:tr>
        <w:trPr/>
        <w:tc>
          <w:tcPr>
            <w:tcW w:w="6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 Underlying Outstanding Options</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Intrinsic Value (in thousands)</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7,788 </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19,475 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canceled</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expired</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March 31, 2026</w:t>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7,940 </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16,412 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as of March 31, 2026</w:t>
            </w:r>
          </w:p>
        </w:tc>
        <w:tc>
          <w:tcPr>
            <w:tcW w:w="123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6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2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15,532 </w:t>
            </w:r>
          </w:p>
        </w:tc>
        <w:tc>
          <w:tcPr>
            <w:tcW w:w="2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unrecognized stock-based compensation of $14.7 million related to unvested stock options will be recognized on a straight-line basis over a weighted average period of 2.17 years.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 and related information under the Company’s 2020 Plan:</w:t>
      </w:r>
    </w:p>
    <w:tbl>
      <w:tblPr>
        <w:tblW w:w="8635" w:type="dxa"/>
        <w:jc w:val="left"/>
        <w:tblInd w:w="0" w:type="dxa"/>
        <w:tblLayout w:type="fixed"/>
        <w:tblCellMar>
          <w:top w:w="28" w:type="dxa"/>
          <w:left w:w="28" w:type="dxa"/>
          <w:bottom w:w="28" w:type="dxa"/>
          <w:right w:w="28" w:type="dxa"/>
        </w:tblCellMar>
      </w:tblPr>
      <w:tblGrid>
        <w:gridCol w:w="1059"/>
        <w:gridCol w:w="930"/>
        <w:gridCol w:w="936"/>
        <w:gridCol w:w="469"/>
        <w:gridCol w:w="469"/>
        <w:gridCol w:w="471"/>
        <w:gridCol w:w="109"/>
        <w:gridCol w:w="109"/>
        <w:gridCol w:w="109"/>
        <w:gridCol w:w="854"/>
        <w:gridCol w:w="2494"/>
        <w:gridCol w:w="626"/>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RSUs</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or 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March 31, 2026</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6,203 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unrecognized stock-based compensation of $58.6 million related to unvested RSUs will be recognized on a straight-line basis over a weighted average period of 2.74 years.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2020 Employee Stock Purchase Plan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2020, the Company’s board of directors adopted, and its stockholders approved, the 2020 Employee Stock Purchase Plan (“ESPP”), which became effective in connection with the Company’s initial public offering. A total of 500,000 shares of the Company’s Class A common stock were initially reserved for issuance under the ESPP. The aggregate number of shares reserved for issuance under the ESPP will increase automatically on January 1st of each of the first ten calendar years during the term of the ESPP by the number of shares equal to the lesser of (a) 1% of the total outstanding shares of all classes of the Company’s common stock as of the immediately preceding December 31 and (b) such number of shares of common stock as determined by the Company’s board of directors. The aggregate number of shares issued over the term of the ESPP may not exceed 7,500,000 shares of Class A common stock. As of March 31, 2026, the Company has reserved 2,021,029 shares of its common stock for issuance under the ESPP.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$0.9 million has been withheld on behalf of employees for a future purchase under the ESPP due to the timing of payroll deductions and is included in accrued liabilities. For the three months ended March 31, 2026 and 2025, no shares of our Class A common stock were purchased under the ESPP.</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unrecognized stock-based compensation expense related to the ESPP was $0.3 million, which is expected to be recognized over a weighted-average period of 0.40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51460"/>
                <wp:effectExtent l="0" t="0" r="0" b="0"/>
                <wp:wrapNone/>
                <wp:docPr id="15" name="Frame1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stock-based compensation expense recognized in the condensed consolidated statements of operations was as follows (in thousands):</w:t>
      </w:r>
    </w:p>
    <w:tbl>
      <w:tblPr>
        <w:tblW w:w="6329" w:type="dxa"/>
        <w:jc w:val="left"/>
        <w:tblInd w:w="0" w:type="dxa"/>
        <w:tblLayout w:type="fixed"/>
        <w:tblCellMar>
          <w:top w:w="28" w:type="dxa"/>
          <w:left w:w="28" w:type="dxa"/>
          <w:bottom w:w="28" w:type="dxa"/>
          <w:right w:w="28" w:type="dxa"/>
        </w:tblCellMar>
      </w:tblPr>
      <w:tblGrid>
        <w:gridCol w:w="1247"/>
        <w:gridCol w:w="1099"/>
        <w:gridCol w:w="1103"/>
        <w:gridCol w:w="230"/>
        <w:gridCol w:w="672"/>
        <w:gridCol w:w="119"/>
        <w:gridCol w:w="119"/>
        <w:gridCol w:w="119"/>
        <w:gridCol w:w="119"/>
        <w:gridCol w:w="230"/>
        <w:gridCol w:w="672"/>
        <w:gridCol w:w="119"/>
        <w:gridCol w:w="109"/>
        <w:gridCol w:w="109"/>
        <w:gridCol w:w="109"/>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10 – Net Loss Per Share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two classes of common stock, Class A and Class B. Basic and diluted earnings per share (“EPS”) attributable to common stockholders for Class A and Class B common stock were the same because they were entitled to the same liquidation and dividend rights.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the Company’s basic and diluted net loss per share (in thousands, except per share data):</w:t>
      </w:r>
    </w:p>
    <w:tbl>
      <w:tblPr>
        <w:tblW w:w="7674" w:type="dxa"/>
        <w:jc w:val="left"/>
        <w:tblInd w:w="0" w:type="dxa"/>
        <w:tblLayout w:type="fixed"/>
        <w:tblCellMar>
          <w:top w:w="28" w:type="dxa"/>
          <w:left w:w="28" w:type="dxa"/>
          <w:bottom w:w="28" w:type="dxa"/>
          <w:right w:w="28" w:type="dxa"/>
        </w:tblCellMar>
      </w:tblPr>
      <w:tblGrid>
        <w:gridCol w:w="1714"/>
        <w:gridCol w:w="1507"/>
        <w:gridCol w:w="1518"/>
        <w:gridCol w:w="211"/>
        <w:gridCol w:w="796"/>
        <w:gridCol w:w="109"/>
        <w:gridCol w:w="109"/>
        <w:gridCol w:w="109"/>
        <w:gridCol w:w="109"/>
        <w:gridCol w:w="211"/>
        <w:gridCol w:w="691"/>
        <w:gridCol w:w="109"/>
        <w:gridCol w:w="109"/>
        <w:gridCol w:w="109"/>
        <w:gridCol w:w="109"/>
        <w:gridCol w:w="154"/>
      </w:tblGrid>
      <w:tr>
        <w:trPr/>
        <w:tc>
          <w:tcPr>
            <w:tcW w:w="1714"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weighted-average outstanding shares of common stock equivalents were excluded from the computation of diluted net loss per share attributable to common stockholders for the periods presented because including them would have been anti-dilutive (in thousands):</w:t>
      </w:r>
    </w:p>
    <w:tbl>
      <w:tblPr>
        <w:tblW w:w="9070" w:type="dxa"/>
        <w:jc w:val="left"/>
        <w:tblInd w:w="0" w:type="dxa"/>
        <w:tblLayout w:type="fixed"/>
        <w:tblCellMar>
          <w:top w:w="28" w:type="dxa"/>
          <w:left w:w="28" w:type="dxa"/>
          <w:bottom w:w="28" w:type="dxa"/>
          <w:right w:w="28" w:type="dxa"/>
        </w:tblCellMar>
      </w:tblPr>
      <w:tblGrid>
        <w:gridCol w:w="2239"/>
        <w:gridCol w:w="1974"/>
        <w:gridCol w:w="1982"/>
        <w:gridCol w:w="266"/>
        <w:gridCol w:w="266"/>
        <w:gridCol w:w="266"/>
        <w:gridCol w:w="266"/>
        <w:gridCol w:w="266"/>
        <w:gridCol w:w="266"/>
        <w:gridCol w:w="266"/>
        <w:gridCol w:w="266"/>
        <w:gridCol w:w="266"/>
        <w:gridCol w:w="109"/>
        <w:gridCol w:w="109"/>
        <w:gridCol w:w="109"/>
        <w:gridCol w:w="154"/>
      </w:tblGrid>
      <w:tr>
        <w:trPr/>
        <w:tc>
          <w:tcPr>
            <w:tcW w:w="2239"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Options to purchase common stock</w:t>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4,770</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4,162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Unvested restricted stock units</w:t>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1,823</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common stock equivalents excluded from net loss per share – diluted</w:t>
            </w:r>
          </w:p>
        </w:tc>
        <w:tc>
          <w:tcPr>
            <w:tcW w:w="79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6,593</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5,224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11 – 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historically calculated the provision for income taxes during interim reporting periods by applying an estimate of the annual effective tax rate (“AETR”) for the full fiscal year to “ordinary” income or loss (pretax income or loss excluding unusual or infrequently occurring discrete items) for the reporting period. The Company has determined the historical method would not provide a reliable estimate for the fiscal three months ended March 31, 2026. Therefore, the discrete effective tax rate method has been used to calculate taxes for the fiscal three months ended March 31,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recorded a benefit from income taxes of $2.6 million and $1.8 million for the three months ended March 31, 2026 and 2025,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income tax rate was 17% and 16% for the three months ended March 31, 2026 and 2025, respectively. The benefit from income taxes for the three months ended March 31, 2026 was related to tax benefits from research tax credits, deductions for equity awards, partially offset by nondeductible stock-based compensation and Section 162(m) limitation on the tax deductibility of officers’ compensation.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51460"/>
                <wp:effectExtent l="0" t="0" r="0" b="0"/>
                <wp:wrapNone/>
                <wp:docPr id="16" name="Frame1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Note 12 – Segment and Geographical Information</w:t>
      </w:r>
      <w:r>
        <w:rPr>
          <w:color w:val="000000"/>
        </w:rPr>
        <w:t xml:space="preserv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segments are components of an enterprise for which separate financial information is available and is evaluated regularly by the Company’s chief operating decision maker (“CODM”) in deciding how to allocate resources and assessing performance. The Company’s CODM is its Chief Executive Officer.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primary measure of segment profit or loss is consolidated net loss as presented below and is used by the CODM for purposes of allocating resources and evaluating financial performance. The Company has one business activity and there are no segment managers accountable for operations, operating results beyond revenue, or plans for levels or components below the consolidated unit level. Accordingly, the Company has one single reporting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with respect to the Company’s single operating segment for the three months ended March 31, 2026 and 2025 (in thousands):</w:t>
      </w:r>
    </w:p>
    <w:tbl>
      <w:tblPr>
        <w:tblW w:w="6264" w:type="dxa"/>
        <w:jc w:val="left"/>
        <w:tblInd w:w="0" w:type="dxa"/>
        <w:tblLayout w:type="fixed"/>
        <w:tblCellMar>
          <w:top w:w="28" w:type="dxa"/>
          <w:left w:w="28" w:type="dxa"/>
          <w:bottom w:w="28" w:type="dxa"/>
          <w:right w:w="28" w:type="dxa"/>
        </w:tblCellMar>
      </w:tblPr>
      <w:tblGrid>
        <w:gridCol w:w="1196"/>
        <w:gridCol w:w="1047"/>
        <w:gridCol w:w="1056"/>
        <w:gridCol w:w="211"/>
        <w:gridCol w:w="796"/>
        <w:gridCol w:w="109"/>
        <w:gridCol w:w="109"/>
        <w:gridCol w:w="109"/>
        <w:gridCol w:w="109"/>
        <w:gridCol w:w="211"/>
        <w:gridCol w:w="721"/>
        <w:gridCol w:w="109"/>
        <w:gridCol w:w="109"/>
        <w:gridCol w:w="109"/>
        <w:gridCol w:w="109"/>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compensation</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(1)Employee compensation includes employee payroll, share-based compensation, bonus, and employee benefits for medical care, retirement, insurances, and other related expenses.</w:t>
      </w:r>
    </w:p>
    <w:p>
      <w:pPr>
        <w:pStyle w:val="TextBody"/>
        <w:bidi w:val="0"/>
        <w:spacing w:lineRule="auto" w:line="288" w:before="0" w:after="0"/>
        <w:ind w:left="0" w:right="0" w:hanging="360"/>
        <w:jc w:val="left"/>
        <w:rPr/>
      </w:pPr>
      <w:r>
        <w:rPr>
          <w:rFonts w:ascii="Times New Roman;serif" w:hAnsi="Times New Roman;serif"/>
          <w:b w:val="false"/>
          <w:color w:val="000000"/>
          <w:sz w:val="16"/>
        </w:rPr>
        <w:t>(2)</w:t>
      </w:r>
      <w:r>
        <w:rPr>
          <w:rFonts w:ascii="Times New Roman;serif" w:hAnsi="Times New Roman;serif"/>
          <w:b w:val="false"/>
          <w:color w:val="000000"/>
          <w:sz w:val="18"/>
        </w:rPr>
        <w:t>Other segment items includes costs and expenses from operation of the Company’s data centers, professional services, facilities, marketing, and other related expenses.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Geographical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total revenue by geographic area based on the publisher’s billing address (in thousands):</w:t>
      </w:r>
    </w:p>
    <w:tbl>
      <w:tblPr>
        <w:tblW w:w="4389" w:type="dxa"/>
        <w:jc w:val="left"/>
        <w:tblInd w:w="0" w:type="dxa"/>
        <w:tblLayout w:type="fixed"/>
        <w:tblCellMar>
          <w:top w:w="28" w:type="dxa"/>
          <w:left w:w="28" w:type="dxa"/>
          <w:bottom w:w="28" w:type="dxa"/>
          <w:right w:w="28" w:type="dxa"/>
        </w:tblCellMar>
      </w:tblPr>
      <w:tblGrid>
        <w:gridCol w:w="544"/>
        <w:gridCol w:w="476"/>
        <w:gridCol w:w="479"/>
        <w:gridCol w:w="211"/>
        <w:gridCol w:w="721"/>
        <w:gridCol w:w="109"/>
        <w:gridCol w:w="109"/>
        <w:gridCol w:w="109"/>
        <w:gridCol w:w="109"/>
        <w:gridCol w:w="211"/>
        <w:gridCol w:w="721"/>
        <w:gridCol w:w="109"/>
        <w:gridCol w:w="109"/>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other country besides the United States represented more than ten percent of total revenue during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51460"/>
                <wp:effectExtent l="0" t="0" r="0" b="0"/>
                <wp:wrapNone/>
                <wp:docPr id="17" name="Frame1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long-lived assets, net, which consist primarily of property and equipment and operating lease right-of-use assets, by geographic area (in thousands):</w:t>
      </w:r>
    </w:p>
    <w:tbl>
      <w:tblPr>
        <w:tblW w:w="4006" w:type="dxa"/>
        <w:jc w:val="left"/>
        <w:tblInd w:w="0" w:type="dxa"/>
        <w:tblLayout w:type="fixed"/>
        <w:tblCellMar>
          <w:top w:w="28" w:type="dxa"/>
          <w:left w:w="28" w:type="dxa"/>
          <w:bottom w:w="28" w:type="dxa"/>
          <w:right w:w="28" w:type="dxa"/>
        </w:tblCellMar>
      </w:tblPr>
      <w:tblGrid>
        <w:gridCol w:w="544"/>
        <w:gridCol w:w="476"/>
        <w:gridCol w:w="479"/>
        <w:gridCol w:w="211"/>
        <w:gridCol w:w="721"/>
        <w:gridCol w:w="109"/>
        <w:gridCol w:w="109"/>
        <w:gridCol w:w="109"/>
        <w:gridCol w:w="109"/>
        <w:gridCol w:w="221"/>
        <w:gridCol w:w="757"/>
        <w:gridCol w:w="161"/>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90,806 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13 – 401(k) Plan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$0.6 million and $0.5 million in matching contributions to the 401(k) Plan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51460"/>
                <wp:effectExtent l="0" t="0" r="0" b="0"/>
                <wp:wrapNone/>
                <wp:docPr id="18" name="Frame1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12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This Quarterly Report on Form 10-Q contains forward-looking statements within the meaning of Section 27A of the Securities Act of 1933, as amended, and Section 21E of the Securities Exchange Act of 1934, as amended. These forward-looking statements generally are identified by the words “believe,” “may,” “will,” “potentially,” “estimate,” “continue,” “anticipate,” “intend,” “could,” “would,” “project,” “plan,” “expect,” and similar expressions. Examples of forward-looking statements include, but are not limited to, statements we make regarding our ability to maintain our growth and profitability, our ability to attract and retain publishers, and our expectations concerning the advertising industry.</w:t>
      </w:r>
    </w:p>
    <w:p>
      <w:pPr>
        <w:pStyle w:val="TextBody"/>
        <w:bidi w:val="0"/>
        <w:spacing w:lineRule="auto" w:line="288" w:before="12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These forward-looking statements are subject to a number of risks, uncertainties and assumptions, including those described in “Risk Factors” and elsewhere in this Quarterly Report on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pStyle w:val="TextBody"/>
        <w:bidi w:val="0"/>
        <w:spacing w:lineRule="auto" w:line="288" w:before="12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on Form 10-Q to conform these statements to actual results or to changes in our expectations, except as required by law.</w:t>
      </w:r>
    </w:p>
    <w:p>
      <w:pPr>
        <w:pStyle w:val="TextBody"/>
        <w:bidi w:val="0"/>
        <w:spacing w:lineRule="auto" w:line="288" w:before="120" w:after="283"/>
        <w:ind w:left="0" w:right="0" w:firstLine="360"/>
        <w:jc w:val="both"/>
        <w:rPr/>
      </w:pPr>
      <w:r>
        <w:rPr>
          <w:rFonts w:ascii="Times New Roman;serif" w:hAnsi="Times New Roman;serif"/>
          <w:b w:val="false"/>
          <w:i/>
          <w:color w:val="000000"/>
          <w:sz w:val="20"/>
          <w:shd w:fill="FFFFFF" w:val="clear"/>
        </w:rPr>
        <w:t xml:space="preserve">The following discussion should be read in conjunction with the unaudited condensed consolidated financial statements and the related notes thereto included elsewhere in this Quarterly Report on Form 10-Q, and the audited consolidated financial statements and notes thereto and management’s discussion and analysis of financial condition and results of operations for the fiscal year ended </w:t>
      </w:r>
      <w:r>
        <w:rPr>
          <w:rFonts w:ascii="Times New Roman;serif" w:hAnsi="Times New Roman;serif"/>
          <w:b w:val="false"/>
          <w:i/>
          <w:color w:val="000000"/>
          <w:sz w:val="20"/>
        </w:rPr>
        <w:t>December 31, 2025</w:t>
      </w:r>
      <w:r>
        <w:rPr>
          <w:color w:val="000000"/>
          <w:shd w:fill="FFFFFF" w:val="clear"/>
        </w:rPr>
        <w:t xml:space="preserve"> </w:t>
      </w:r>
      <w:r>
        <w:rPr>
          <w:rFonts w:ascii="Times New Roman;serif" w:hAnsi="Times New Roman;serif"/>
          <w:b w:val="false"/>
          <w:i/>
          <w:color w:val="000000"/>
          <w:sz w:val="20"/>
          <w:shd w:fill="FFFFFF" w:val="clear"/>
        </w:rPr>
        <w:t xml:space="preserve">included in our Annual Report on Form 10-K filed with the U.S. Securities and Exchange Commission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an independent, artificial intelligence-powered advertising technology company that delivers digital advertising performance. Our mission is to fuel the endless potential of internet content creators and to enable a thriving, advertisement-funded digital ecosystem where global audiences can gain free or affordable access to information and entertainment.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integrated technology platform connects buyers, publishers, data providers, and commerce media networks on a single, unified platform, to deliver advertising performance, control, transparency and efficiency. Our platform empowers the world’s leading digital content creators (which we collectively refer to as “publishers”) to maximize monetization of their advertising inventory and audiences and provides control and transparency to groups that include advertisers, agencies, agency trading desks, and demand side platforms (“DSPs”) (which we collectively refer to as “buyers”).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focus on the strengths that we believe provide us with long-term competitive advantages. These strengths include our global, omnichannel reach which targets a diverse set of publishers touching many ad formats and digital device types, including mobile app, mobile web, desktop, display, video, over-the-top video/connected TV (“OTT/CTV”), and rich media. Additionally, as an independent infrastructure provider prioritizing transparency, we can be more closely aligned with both publishers and buyers which has enabled us to create bespoke products that meet our customers’ needs. We have also maintained a demonstrated track record of stability and agility to address changes in market conditions and provide superior outcomes for both publishers and buyers. Finally, we have designed our technology to efficiently process real-time advertising transactions while leveraging data to optimize outcomes for publishers and buyers. We own and operate our software and hardware infrastructure globally, which saves significant infrastructure expenditures as compared to public cloud alternatives.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51460"/>
                <wp:effectExtent l="0" t="0" r="0" b="0"/>
                <wp:wrapNone/>
                <wp:docPr id="19" name="Frame1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Industry Trends and Macroeconomic Factors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digital advertising ecosystem continues to evolve and adapt at a rapid pace. Some noted trends include the continued growth of digital media across multiple platforms, an increased focus on performance driven media, and a desire for transparency and control throughout the supply chain from both the buyers and publishers. In addition, rapidly evolving data and privacy regulations and industry standards continue to impact our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recent macroeconomic uncertainty, including impacts from the ongoing conflict in the Middle East and resulting disruption to international trade and energy markets, adopted or proposed changes in the trade policies and tariff rates of the United States and international trade partners, slowing domestic growth, economic recession concerns, interest rate fluctuations, volatility in domestic and international equity and debt markets, foreign currency fluctuation and weakening of the U.S. Dollar, and persistent inflation in the U.S. and other markets globally, continue to create economic volatility and dislocation in the capital and credit markets in the U.S. and globally. A prolonged disruption to global trade, whatever the source, could dampen advertiser budgets, increase operating costs, reduce consumer spending, and adversely affect economic conditions in the markets in which we operate, including North America, Europe, and Asia. Escalating geopolitical tensions and volatility, including in the Middle East, could compound these effects by disrupting energy markets, global supply chains, and general consumer and business confidence. To date, we have not observed material impacts in our business or outlook, but we intend to continue to monitor macroeconomic conditions closely and may determine to take certain financial or operational actions in response to such conditions to the extent our business begins to be adversely impacted.</w:t>
      </w:r>
    </w:p>
    <w:p>
      <w:pPr>
        <w:pStyle w:val="TextBody"/>
        <w:bidi w:val="0"/>
        <w:spacing w:lineRule="auto" w:line="288" w:before="120" w:after="283"/>
        <w:ind w:left="0" w:right="0" w:firstLine="360"/>
        <w:jc w:val="both"/>
        <w:rPr/>
      </w:pPr>
      <w:r>
        <w:rPr>
          <w:rFonts w:ascii="Times New Roman;serif" w:hAnsi="Times New Roman;serif"/>
          <w:b w:val="false"/>
          <w:color w:val="000000"/>
          <w:sz w:val="20"/>
        </w:rPr>
        <w:t>See “Risk Factors” in this report and in our Annual Report on Form 10-K for the year ended December 31, 2025 for further discussion of the risks related to inflation, volatile interest rates, foreign currency fluctuations and</w:t>
      </w:r>
      <w:r>
        <w:rPr>
          <w:color w:val="000000"/>
          <w:shd w:fill="FFFFFF" w:val="clear"/>
        </w:rPr>
        <w:t xml:space="preserve"> </w:t>
      </w:r>
      <w:r>
        <w:rPr>
          <w:rFonts w:ascii="Times New Roman;serif" w:hAnsi="Times New Roman;serif"/>
          <w:b w:val="false"/>
          <w:color w:val="000000"/>
          <w:sz w:val="20"/>
          <w:shd w:fill="FFFFFF" w:val="clear"/>
        </w:rPr>
        <w:t>general</w:t>
      </w:r>
      <w:r>
        <w:rPr>
          <w:color w:val="000000"/>
        </w:rPr>
        <w:t xml:space="preserve"> </w:t>
      </w:r>
      <w:r>
        <w:rPr>
          <w:rFonts w:ascii="Times New Roman;serif" w:hAnsi="Times New Roman;serif"/>
          <w:b w:val="false"/>
          <w:color w:val="000000"/>
          <w:sz w:val="20"/>
        </w:rPr>
        <w:t>macroeconomic uncertainty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Business Highlights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financial highlights of our business performance:</w:t>
      </w:r>
    </w:p>
    <w:tbl>
      <w:tblPr>
        <w:tblW w:w="6505" w:type="dxa"/>
        <w:jc w:val="left"/>
        <w:tblInd w:w="0" w:type="dxa"/>
        <w:tblLayout w:type="fixed"/>
        <w:tblCellMar>
          <w:top w:w="28" w:type="dxa"/>
          <w:left w:w="28" w:type="dxa"/>
          <w:bottom w:w="28" w:type="dxa"/>
          <w:right w:w="28" w:type="dxa"/>
        </w:tblCellMar>
      </w:tblPr>
      <w:tblGrid>
        <w:gridCol w:w="1250"/>
        <w:gridCol w:w="1103"/>
        <w:gridCol w:w="1112"/>
        <w:gridCol w:w="211"/>
        <w:gridCol w:w="796"/>
        <w:gridCol w:w="109"/>
        <w:gridCol w:w="109"/>
        <w:gridCol w:w="109"/>
        <w:gridCol w:w="109"/>
        <w:gridCol w:w="211"/>
        <w:gridCol w:w="796"/>
        <w:gridCol w:w="109"/>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6"/>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(1)For a definition of Adjusted EBITDA, an explanation of our management’s use of this measure, and a reconciliation of Adjusted EBITDA to net loss, see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51460"/>
                <wp:effectExtent l="0" t="0" r="0" b="0"/>
                <wp:wrapNone/>
                <wp:docPr id="20" name="Frame2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Strategy and Performance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growth and financial performance are dependent on many factors, including those described below.</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Attract New Customers and Expand our Relationship with Existing Customers Globally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sell additional products to publisher customers including our header bidding management, identity, and audience solutions. We automate workflow processes whenever feasible to drive predictable and value-added outcomes for our customers and increase productivity of our organization.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dollar-based retention rate is an important indicator of publisher satisfaction and usage of our platform, as well as potential revenue for future periods. We calculate our net dollar-based retention rate at the end of each year. We calculate our net dollar-based retention rate by starting with the revenue from publishers in the last prior year (“Prior Period Revenue”). We then calculate the revenue from these same publishers in the current year (“Current Period Revenue”). Current Period Revenue includes any upsells and is net of contraction or attrition, but excludes revenue from new publishers.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net dollar-based retention rate equals the Current Period Revenue divided by Prior Period Revenue. Our net dollar-based retention rate was 96% for the trailing twelve months ended March 31, 2026, and 102% for the trailing twelve months ended March 31, 2025.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Expansion of SPO Agreements and Activate</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We work with DSPs to help them reduce their costs and improve advertiser ROI, which in turn makes us the specialized cloud infrastructure platform of choice for many of our buying partners. We depend upon a limited number of large DSPs for a large percentage of impressions purchased and our business results, including revenues, may be impacted by changes in their pricing strategies, bidding algorithms or go-to market efforts. As buyers increasingly consolidate their spending with fewer larger technology platforms, we seek to bring an increased proportion of their digital ad spending to our platform through direct deals. </w:t>
      </w:r>
      <w:r>
        <w:rPr>
          <w:rFonts w:ascii="Times New Roman;serif" w:hAnsi="Times New Roman;serif"/>
          <w:b w:val="false"/>
          <w:color w:val="000000"/>
          <w:sz w:val="22"/>
          <w:shd w:fill="FFFFFF" w:val="clear"/>
        </w:rPr>
        <w:t>S</w:t>
      </w:r>
      <w:r>
        <w:rPr>
          <w:rFonts w:ascii="Times New Roman;serif" w:hAnsi="Times New Roman;serif"/>
          <w:b w:val="false"/>
          <w:color w:val="000000"/>
          <w:sz w:val="20"/>
        </w:rPr>
        <w:t>upply Path Optimization (“SPO”) continues to be a major growth driver for us as we add new SPO relationships and expand existing ones. We have been investing in SPO technology and partnerships for six years and SPO represented approximately 56% of total activity for the three months ended March 31, 2026.</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Monetization Excellence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focus on monetizing digital impressions by coordinating over a hundred billion real-time auctions and nearly a trillion bids globally on a daily basis, using our specialized cloud software, machine learning algorithms, and scaled transaction infrastructure. Valuable ad impressions are transparent and data rich, viewable by humans, and verifiable. Each ad impression we auction consists of 731 independent data parameters, which can yield valuable insights if recorded and analyzed properly. This processing of voluminous data for each ad impression must occur in less than half a second as consumers expect a seamless digital ad experience.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51460"/>
                <wp:effectExtent l="0" t="0" r="0" b="0"/>
                <wp:wrapNone/>
                <wp:docPr id="21" name="Frame2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Infrastructure Platform Efficiency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track record of expanding the capacity of our infrastructure platform, while maintaining or reducing the corresponding costs related to processing impressions transacted on our platform on a per impression basis. We expect to continue to invest in both software and hardware infrastructure to continue growing the number of valuable ad impressions we process on our platform.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In March 2026, our platform processed approximately 1 trillion ad impressions daily, each in a fraction of a second.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Components of Our Results of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platform and suite of solutions serve four primary customer types: publishers, buyers, data partners and curators, and retail and commerce media participants. Through these customers, we generate revenue from the use of our platform for the purchase and sale of digital advertising inventory and value-added features and functionality. Value-added features and functionality include Connect, our solution that provides additional data and insights to buyers, Activate, which allows buyers to execute direct deals on our platform across our publisher inventory, and OpenWrap, our header bidding solution. These solutions, among many others, are sold separately from or in conjunction with use of our platform.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report revenue on a net basis. This represents gross billings to buyers, net of amounts we pay publishers and rebates associated with SPO agreements with buyers.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consists of data center co-location costs, depreciation expense related to hardware supporting our platform, amortization expense related to capitalized internal-use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Technology and Development. </w:t>
      </w:r>
      <w:r>
        <w:rPr>
          <w:rFonts w:ascii="Times New Roman;serif" w:hAnsi="Times New Roman;serif"/>
          <w:b w:val="false"/>
          <w:color w:val="000000"/>
          <w:sz w:val="20"/>
        </w:rPr>
        <w:t>Technology and development expenses consist of personnel costs, including salaries, bonuses, stock-based compensation, and employee benefits costs, allocated facilities costs, and professional services. These expenses include costs incurred in the development, implementation and maintenance of internal-use software, including platform and related infrastructure. We expend technology and development costs as incurred, except to the extent that such costs are associated with internal-use software development that qualifies for capitalization. We expect technology and development expenses to generally increase in absolute dollars in future periods.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Sales and Marketing. </w:t>
      </w:r>
      <w:r>
        <w:rPr>
          <w:rFonts w:ascii="Times New Roman;serif" w:hAnsi="Times New Roman;serif"/>
          <w:b w:val="false"/>
          <w:color w:val="000000"/>
          <w:sz w:val="20"/>
        </w:rPr>
        <w:t>Sales and marketing expenses consist of personnel costs, including salaries, bonuses, stock-based compensation, and employee benefits costs, for our employees 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General and administrative expenses consist of personnel costs, including salaries, bonuses, stock-based compensation, and employee benefits costs for our executive, finance, legal, human resources, information technology, and other administrative employees. General and administrative expenses also include outside consulting, legal and accounting services, allocated facilities costs, and travel and entertainment primarily related to inter-office travel and conferences.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51460"/>
                <wp:effectExtent l="0" t="0" r="0" b="0"/>
                <wp:wrapNone/>
                <wp:docPr id="22" name="Frame2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Total Other Income (Expense), Net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other income (expense), net consists of interest income and other income (expense), net. Interest income is generated by investing excess cash into money market accounts and marketable securities. Other income (expense), net consists primarily of gains and losses from foreign currency exchange transactions.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Provision for (Benefit from) 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(benefit from) income taxes consists primarily of federal, state, and foreign income taxes. Our provision for income taxes or income tax benefit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effective tax rate differs from the U.S. federal statutory income tax rate due to state taxes, foreign tax rate differences, technology and development tax credits, and stock-based compensation.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51460"/>
                <wp:effectExtent l="0" t="0" r="0" b="0"/>
                <wp:wrapNone/>
                <wp:docPr id="23" name="Frame2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condensed consolidated results of operations data and such data as a percentage of revenue for the periods presented. The period-to-period comparison of results is not necessarily indicative of results for future periods.</w:t>
      </w:r>
    </w:p>
    <w:tbl>
      <w:tblPr>
        <w:tblW w:w="5530" w:type="dxa"/>
        <w:jc w:val="left"/>
        <w:tblInd w:w="0" w:type="dxa"/>
        <w:tblLayout w:type="fixed"/>
        <w:tblCellMar>
          <w:top w:w="28" w:type="dxa"/>
          <w:left w:w="28" w:type="dxa"/>
          <w:bottom w:w="28" w:type="dxa"/>
          <w:right w:w="28" w:type="dxa"/>
        </w:tblCellMar>
      </w:tblPr>
      <w:tblGrid>
        <w:gridCol w:w="927"/>
        <w:gridCol w:w="817"/>
        <w:gridCol w:w="821"/>
        <w:gridCol w:w="211"/>
        <w:gridCol w:w="796"/>
        <w:gridCol w:w="109"/>
        <w:gridCol w:w="109"/>
        <w:gridCol w:w="109"/>
        <w:gridCol w:w="109"/>
        <w:gridCol w:w="211"/>
        <w:gridCol w:w="721"/>
        <w:gridCol w:w="109"/>
        <w:gridCol w:w="109"/>
        <w:gridCol w:w="109"/>
        <w:gridCol w:w="109"/>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6"/>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6"/>
              </w:rPr>
              <w:t>(1)</w:t>
            </w:r>
            <w:r>
              <w:rPr>
                <w:rFonts w:ascii="Times New Roman;serif" w:hAnsi="Times New Roman;serif"/>
                <w:b w:val="false"/>
                <w:color w:val="000000"/>
                <w:sz w:val="20"/>
              </w:rPr>
              <w:t>:</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both"/>
        <w:rPr/>
      </w:pPr>
      <w:r>
        <w:rPr>
          <w:rFonts w:ascii="Times New Roman;serif" w:hAnsi="Times New Roman;serif"/>
          <w:b w:val="false"/>
          <w:color w:val="000000"/>
          <w:sz w:val="16"/>
        </w:rPr>
        <w:t>(1)</w:t>
      </w:r>
      <w:r>
        <w:rPr>
          <w:rFonts w:ascii="Times New Roman;serif" w:hAnsi="Times New Roman;serif"/>
          <w:b w:val="false"/>
          <w:color w:val="000000"/>
          <w:sz w:val="18"/>
        </w:rPr>
        <w:t>Amounts include stock-based compensation expense before tax benefit as follows:</w:t>
      </w:r>
    </w:p>
    <w:tbl>
      <w:tblPr>
        <w:tblW w:w="6329" w:type="dxa"/>
        <w:jc w:val="left"/>
        <w:tblInd w:w="0" w:type="dxa"/>
        <w:tblLayout w:type="fixed"/>
        <w:tblCellMar>
          <w:top w:w="28" w:type="dxa"/>
          <w:left w:w="28" w:type="dxa"/>
          <w:bottom w:w="28" w:type="dxa"/>
          <w:right w:w="28" w:type="dxa"/>
        </w:tblCellMar>
      </w:tblPr>
      <w:tblGrid>
        <w:gridCol w:w="1247"/>
        <w:gridCol w:w="1099"/>
        <w:gridCol w:w="1103"/>
        <w:gridCol w:w="230"/>
        <w:gridCol w:w="672"/>
        <w:gridCol w:w="119"/>
        <w:gridCol w:w="119"/>
        <w:gridCol w:w="119"/>
        <w:gridCol w:w="119"/>
        <w:gridCol w:w="230"/>
        <w:gridCol w:w="672"/>
        <w:gridCol w:w="119"/>
        <w:gridCol w:w="109"/>
        <w:gridCol w:w="109"/>
        <w:gridCol w:w="109"/>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3,463 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4,176 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51460"/>
                <wp:effectExtent l="0" t="0" r="0" b="0"/>
                <wp:wrapNone/>
                <wp:docPr id="24" name="Frame2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tbl>
      <w:tblPr>
        <w:tblW w:w="5573" w:type="dxa"/>
        <w:jc w:val="left"/>
        <w:tblInd w:w="0" w:type="dxa"/>
        <w:tblLayout w:type="fixed"/>
        <w:tblCellMar>
          <w:top w:w="28" w:type="dxa"/>
          <w:left w:w="28" w:type="dxa"/>
          <w:bottom w:w="28" w:type="dxa"/>
          <w:right w:w="28" w:type="dxa"/>
        </w:tblCellMar>
      </w:tblPr>
      <w:tblGrid>
        <w:gridCol w:w="927"/>
        <w:gridCol w:w="817"/>
        <w:gridCol w:w="820"/>
        <w:gridCol w:w="233"/>
        <w:gridCol w:w="233"/>
        <w:gridCol w:w="498"/>
        <w:gridCol w:w="200"/>
        <w:gridCol w:w="200"/>
        <w:gridCol w:w="200"/>
        <w:gridCol w:w="233"/>
        <w:gridCol w:w="233"/>
        <w:gridCol w:w="498"/>
        <w:gridCol w:w="109"/>
        <w:gridCol w:w="109"/>
        <w:gridCol w:w="109"/>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percentage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Revenue, Cost of Revenue and Gross Profit</w:t>
      </w:r>
    </w:p>
    <w:tbl>
      <w:tblPr>
        <w:tblW w:w="6993" w:type="dxa"/>
        <w:jc w:val="left"/>
        <w:tblInd w:w="0" w:type="dxa"/>
        <w:tblLayout w:type="fixed"/>
        <w:tblCellMar>
          <w:top w:w="28" w:type="dxa"/>
          <w:left w:w="28" w:type="dxa"/>
          <w:bottom w:w="28" w:type="dxa"/>
          <w:right w:w="28" w:type="dxa"/>
        </w:tblCellMar>
      </w:tblPr>
      <w:tblGrid>
        <w:gridCol w:w="607"/>
        <w:gridCol w:w="535"/>
        <w:gridCol w:w="537"/>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186"/>
        <w:gridCol w:w="186"/>
        <w:gridCol w:w="54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43" w:type="dxa"/>
            <w:gridSpan w:val="6"/>
            <w:tcBorders/>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43" w:type="dxa"/>
            <w:gridSpan w:val="6"/>
            <w:tcBorders/>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20"/>
        </w:rPr>
        <w:t>Revenue for the three months ended March 31, 2026 decreased by $1.3 million, or (2)%, compared to the three months ended March 31, 2025</w:t>
      </w:r>
      <w:r>
        <w:rPr>
          <w:rFonts w:ascii="Times New Roman;serif" w:hAnsi="Times New Roman;serif"/>
          <w:b w:val="false"/>
          <w:color w:val="000000"/>
          <w:sz w:val="20"/>
          <w:shd w:fill="FFFFFF" w:val="clear"/>
        </w:rPr>
        <w:t>. Our revenues were primarily driven by impressions processed on our platform, new revenue streams, and growth in customer relationships. These increases were negatively impacted by platform changes implemented by one of our DSP buyers in the second half of 2025, resulting in a year over year decline in revenues.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we served approximately 1,970 publishers and app developers worldwide on our platform, compared to approximately 1,950 publishers and app developers worldwide as of March 31, 2025. For purposes of our publisher count, we aggregate multiple business accounts from separate divisions, segments or subsidiaries into a single “master” publisher based on our assessment of the related nature of the group.</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our revenues to be affected by macroeconomic conditions for the remainder of 2026, and will continue to be impacted by the platform changes implemented by one of our buyers in 2025 in the near term. The magnitude of these impacts on our future revenues is difficult to predict.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increased $0.5 million for the three months ended March 31, 2026 compared to the three months ended March 31, 2025, primarily due to a $2.0 million increase in data center costs, offset by a $1.5 million decrease in depreciation and amortization. Overall, our cost of revenue per million impressions processed for the three months ended March 31, 2026 decreased by approximately 19% compared to the three months ended March 31, 2025.</w:t>
      </w:r>
    </w:p>
    <w:p>
      <w:pPr>
        <w:pStyle w:val="TextBody"/>
        <w:bidi w:val="0"/>
        <w:spacing w:lineRule="auto" w:line="288" w:before="120" w:after="283"/>
        <w:ind w:left="0" w:right="0" w:firstLine="346"/>
        <w:jc w:val="both"/>
        <w:rPr>
          <w:rFonts w:ascii="Times New Roman;serif" w:hAnsi="Times New Roman;serif"/>
          <w:b w:val="false"/>
          <w:color w:val="000000"/>
          <w:sz w:val="20"/>
        </w:rPr>
      </w:pPr>
      <w:r>
        <w:rPr>
          <w:rFonts w:ascii="Times New Roman;serif" w:hAnsi="Times New Roman;serif"/>
          <w:b w:val="false"/>
          <w:color w:val="000000"/>
          <w:sz w:val="20"/>
        </w:rPr>
        <w:t>Our gross margin of 58% for the three months ended March 31, 2026 decreased compared to 60% for the three months ended March 31, 2025, primarily due to a decrease in revenue.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the cost of revenue to be higher in 2026 compared to 2025 in absolute dollars as we continue to support our data centers.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51460"/>
                <wp:effectExtent l="0" t="0" r="0" b="0"/>
                <wp:wrapNone/>
                <wp:docPr id="25" name="Frame2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Technology and Development</w:t>
      </w:r>
    </w:p>
    <w:tbl>
      <w:tblPr>
        <w:tblW w:w="7518" w:type="dxa"/>
        <w:jc w:val="left"/>
        <w:tblInd w:w="0" w:type="dxa"/>
        <w:tblLayout w:type="fixed"/>
        <w:tblCellMar>
          <w:top w:w="28" w:type="dxa"/>
          <w:left w:w="28" w:type="dxa"/>
          <w:bottom w:w="28" w:type="dxa"/>
          <w:right w:w="28" w:type="dxa"/>
        </w:tblCellMar>
      </w:tblPr>
      <w:tblGrid>
        <w:gridCol w:w="930"/>
        <w:gridCol w:w="815"/>
        <w:gridCol w:w="819"/>
        <w:gridCol w:w="211"/>
        <w:gridCol w:w="616"/>
        <w:gridCol w:w="271"/>
        <w:gridCol w:w="109"/>
        <w:gridCol w:w="109"/>
        <w:gridCol w:w="109"/>
        <w:gridCol w:w="211"/>
        <w:gridCol w:w="616"/>
        <w:gridCol w:w="271"/>
        <w:gridCol w:w="109"/>
        <w:gridCol w:w="109"/>
        <w:gridCol w:w="109"/>
        <w:gridCol w:w="211"/>
        <w:gridCol w:w="541"/>
        <w:gridCol w:w="109"/>
        <w:gridCol w:w="109"/>
        <w:gridCol w:w="109"/>
        <w:gridCol w:w="109"/>
        <w:gridCol w:w="186"/>
        <w:gridCol w:w="186"/>
        <w:gridCol w:w="54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Percent of revenue</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43" w:type="dxa"/>
            <w:gridSpan w:val="6"/>
            <w:tcBorders/>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43" w:type="dxa"/>
            <w:gridSpan w:val="6"/>
            <w:tcBorders/>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technology and development costs for the three months ended March 31, 2026 was primarily due to a decrease of $1.5 million in personnel costs, offset by a $0.7 million decrease in capitalized internal-use software costs.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technology and development expenses to be flat in 2026 compared to 2025 in absolute dollars.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Sales and Marketing</w:t>
      </w:r>
    </w:p>
    <w:tbl>
      <w:tblPr>
        <w:tblW w:w="6993" w:type="dxa"/>
        <w:jc w:val="left"/>
        <w:tblInd w:w="0" w:type="dxa"/>
        <w:tblLayout w:type="fixed"/>
        <w:tblCellMar>
          <w:top w:w="28" w:type="dxa"/>
          <w:left w:w="28" w:type="dxa"/>
          <w:bottom w:w="28" w:type="dxa"/>
          <w:right w:w="28" w:type="dxa"/>
        </w:tblCellMar>
      </w:tblPr>
      <w:tblGrid>
        <w:gridCol w:w="634"/>
        <w:gridCol w:w="558"/>
        <w:gridCol w:w="562"/>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Percent of revenue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43" w:type="dxa"/>
            <w:gridSpan w:val="6"/>
            <w:tcBorders/>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43" w:type="dxa"/>
            <w:gridSpan w:val="6"/>
            <w:tcBorders/>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costs for the three months ended March 31, 2026 increased primarily due to a $2.4 million increase in personnel costs.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sales and marketing expenses to increase in 2026 compared to 2025 in absolute dollars primarily due to additional headcount investments and marketing programs.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7408" w:type="dxa"/>
        <w:jc w:val="left"/>
        <w:tblInd w:w="0" w:type="dxa"/>
        <w:tblLayout w:type="fixed"/>
        <w:tblCellMar>
          <w:top w:w="28" w:type="dxa"/>
          <w:left w:w="28" w:type="dxa"/>
          <w:bottom w:w="28" w:type="dxa"/>
          <w:right w:w="28" w:type="dxa"/>
        </w:tblCellMar>
      </w:tblPr>
      <w:tblGrid>
        <w:gridCol w:w="837"/>
        <w:gridCol w:w="735"/>
        <w:gridCol w:w="737"/>
        <w:gridCol w:w="211"/>
        <w:gridCol w:w="721"/>
        <w:gridCol w:w="271"/>
        <w:gridCol w:w="109"/>
        <w:gridCol w:w="109"/>
        <w:gridCol w:w="109"/>
        <w:gridCol w:w="211"/>
        <w:gridCol w:w="721"/>
        <w:gridCol w:w="271"/>
        <w:gridCol w:w="109"/>
        <w:gridCol w:w="109"/>
        <w:gridCol w:w="109"/>
        <w:gridCol w:w="213"/>
        <w:gridCol w:w="471"/>
        <w:gridCol w:w="112"/>
        <w:gridCol w:w="109"/>
        <w:gridCol w:w="109"/>
        <w:gridCol w:w="109"/>
        <w:gridCol w:w="186"/>
        <w:gridCol w:w="18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Percent of revenue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243"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243"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for the three months ended March 31, 2026 primarily due to a $0.7 million increase in professional services, offset by a $0.4 million decrease in personnel costs.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general and administrative expenses to increase in 2026 compared to 2025 in absolute dollars primarily due to additional professional services.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Total Other Income (Expense), net</w:t>
      </w:r>
    </w:p>
    <w:tbl>
      <w:tblPr>
        <w:tblW w:w="7729" w:type="dxa"/>
        <w:jc w:val="left"/>
        <w:tblInd w:w="0" w:type="dxa"/>
        <w:tblLayout w:type="fixed"/>
        <w:tblCellMar>
          <w:top w:w="28" w:type="dxa"/>
          <w:left w:w="28" w:type="dxa"/>
          <w:bottom w:w="28" w:type="dxa"/>
          <w:right w:w="28" w:type="dxa"/>
        </w:tblCellMar>
      </w:tblPr>
      <w:tblGrid>
        <w:gridCol w:w="1027"/>
        <w:gridCol w:w="900"/>
        <w:gridCol w:w="908"/>
        <w:gridCol w:w="230"/>
        <w:gridCol w:w="672"/>
        <w:gridCol w:w="119"/>
        <w:gridCol w:w="119"/>
        <w:gridCol w:w="119"/>
        <w:gridCol w:w="119"/>
        <w:gridCol w:w="230"/>
        <w:gridCol w:w="672"/>
        <w:gridCol w:w="119"/>
        <w:gridCol w:w="109"/>
        <w:gridCol w:w="109"/>
        <w:gridCol w:w="109"/>
        <w:gridCol w:w="211"/>
        <w:gridCol w:w="541"/>
        <w:gridCol w:w="109"/>
        <w:gridCol w:w="109"/>
        <w:gridCol w:w="109"/>
        <w:gridCol w:w="109"/>
        <w:gridCol w:w="218"/>
        <w:gridCol w:w="218"/>
        <w:gridCol w:w="54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307" w:type="dxa"/>
            <w:gridSpan w:val="6"/>
            <w:tcBorders/>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307" w:type="dxa"/>
            <w:gridSpan w:val="6"/>
            <w:tcBorders/>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other income (expense), net decreased for the three months ended March 31, 2026, compared to the three months ended March 31, 2025 mainly due to the decrease in interest rates and a decrease in holdings in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51460"/>
                <wp:effectExtent l="0" t="0" r="0" b="0"/>
                <wp:wrapNone/>
                <wp:docPr id="26" name="Frame2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Benefit From Income Taxes</w:t>
      </w:r>
    </w:p>
    <w:tbl>
      <w:tblPr>
        <w:tblW w:w="7077" w:type="dxa"/>
        <w:jc w:val="left"/>
        <w:tblInd w:w="0" w:type="dxa"/>
        <w:tblLayout w:type="fixed"/>
        <w:tblCellMar>
          <w:top w:w="28" w:type="dxa"/>
          <w:left w:w="28" w:type="dxa"/>
          <w:bottom w:w="28" w:type="dxa"/>
          <w:right w:w="28" w:type="dxa"/>
        </w:tblCellMar>
      </w:tblPr>
      <w:tblGrid>
        <w:gridCol w:w="814"/>
        <w:gridCol w:w="714"/>
        <w:gridCol w:w="721"/>
        <w:gridCol w:w="215"/>
        <w:gridCol w:w="706"/>
        <w:gridCol w:w="111"/>
        <w:gridCol w:w="111"/>
        <w:gridCol w:w="111"/>
        <w:gridCol w:w="111"/>
        <w:gridCol w:w="215"/>
        <w:gridCol w:w="706"/>
        <w:gridCol w:w="111"/>
        <w:gridCol w:w="109"/>
        <w:gridCol w:w="109"/>
        <w:gridCol w:w="109"/>
        <w:gridCol w:w="211"/>
        <w:gridCol w:w="541"/>
        <w:gridCol w:w="109"/>
        <w:gridCol w:w="109"/>
        <w:gridCol w:w="109"/>
        <w:gridCol w:w="109"/>
        <w:gridCol w:w="186"/>
        <w:gridCol w:w="186"/>
        <w:gridCol w:w="544"/>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43" w:type="dxa"/>
            <w:gridSpan w:val="6"/>
            <w:tcBorders/>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43" w:type="dxa"/>
            <w:gridSpan w:val="6"/>
            <w:tcBorders/>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difference between the effective tax rate for the three months ended March 31, 2026 of 17% and the federal statutory income tax rate of 21% was related to tax benefits from research tax credits and deductions for equity awards, partially offset by nondeductible stock-based compensation, and Section 162(m) limitation on the tax deductibility of officers’ compensation. The difference between the effective income tax rate of 16% for the three months ended March 31, 2025 and the federal statutory income tax rate of 21% was related to the tax benefits from foreign-derived intangible income (FDII), research tax credits, and deductions for equity awards, partially offset by nondeductible stock-based compensation and Section 162(m) limitation on the tax deductibility of officers’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U.S. generally accepted accounting principles (“GAAP”), including, in particular, operating loss, net cash provided by operating activities, and net loss, we believe that Adjusted EBITDA, a non-GAAP measure, is useful in evaluating our operating performance. We define Adjusted EBITDA as net loss adjusted for stock-based compensation expense, depreciation and amortization, litigation related expenses, interest income, and benefit from 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Adjusted EBITDA to net loss for each of the periods indicated:</w:t>
      </w:r>
    </w:p>
    <w:tbl>
      <w:tblPr>
        <w:tblW w:w="5530" w:type="dxa"/>
        <w:jc w:val="left"/>
        <w:tblInd w:w="0" w:type="dxa"/>
        <w:tblLayout w:type="fixed"/>
        <w:tblCellMar>
          <w:top w:w="28" w:type="dxa"/>
          <w:left w:w="28" w:type="dxa"/>
          <w:bottom w:w="28" w:type="dxa"/>
          <w:right w:w="28" w:type="dxa"/>
        </w:tblCellMar>
      </w:tblPr>
      <w:tblGrid>
        <w:gridCol w:w="941"/>
        <w:gridCol w:w="822"/>
        <w:gridCol w:w="832"/>
        <w:gridCol w:w="211"/>
        <w:gridCol w:w="796"/>
        <w:gridCol w:w="109"/>
        <w:gridCol w:w="109"/>
        <w:gridCol w:w="109"/>
        <w:gridCol w:w="109"/>
        <w:gridCol w:w="211"/>
        <w:gridCol w:w="691"/>
        <w:gridCol w:w="109"/>
        <w:gridCol w:w="109"/>
        <w:gridCol w:w="109"/>
        <w:gridCol w:w="109"/>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(12,510)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(deduct):</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8,488 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9,988 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Litigation related expenses</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(2,601)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(1)Litigation related expenses represents external legal fees and other expenses, net of insurance recoveries, associated with pending litigation that arose outside of the ordinary course of business. These costs related to a discrete matter, and are not representative of our underlying operating performance. We do not adjust for legal expenses incurred in our ordinary course of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Adjusted EBITDA is used by many investors and securities analysts in their evaluations of companies, it has limitations as an analytical tool, and should not be considered in isolation or as a substitute for analysis of our results of operations as reported under GAAP. Other companies in our industry may calculate Adjusted EBITDA differently than we do, limiting its usefulness as a comparative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51460"/>
                <wp:effectExtent l="0" t="0" r="0" b="0"/>
                <wp:wrapNone/>
                <wp:docPr id="27" name="Frame2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financed our operations and capital expenditures primarily through utilization of cash generated from operations as well as sales of equity securities. As of March 31, 2026, we had cash and cash equivalents of $144.9 million and net working capital, consisting of current assets less current liabilities, of $135.3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uses of cash are funding our operations and other working capital requirements.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We believe our existing cash, cash equivalents,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Our future capital requirements and the adequacy of available funds will depend on many factors, including those set forth under “Risk Factors” in this report and in our Annual Report on Form 10-K for the year ended December 31, 2025. As of March 31, 2026, our material cash requirements included the contractual commitments set forth under “Contractual Obligations and Future Cash Requirements.”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2023, our board of directors authorized the 2023 Repurchase Program which was to terminate as of December 31, 2024 (as amended, the “2023 Repurchase Program”). In February 2024, our board of directors authorized an additional $100.0 million for repurchases under the 2023 Repurchase Program, and extended the termination date to December 31, 2025 (the “2024 Repurchase Program Extension”). In May 2025, the Company’s board of directors authorized the Company to repurchase up to an additional $100 million of its Class A common stock under the 2023 Repurchase Program (the “2025 Repurchase Program Extension”) in addition to the aggregate $175 million previously authorized under the 2023 Repurchase Program, and extended the expiration of the 2023 Repurchase Program to December 31, 2026. During the three months ended March 31, 2026, we repurchased 1,048,650 shares of Class A common stock under the 2023 Repurchase Program for an aggregate purchase price of $8.8 million. As of March 31, 2026, $85.1 million remained available for future share repurchases under the 2023 Repurchase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We cannot guarantee that we will be able to raise additional capital in the future on favorable terms, or at all. Any inability to raise capital could adversely affect our ability to achieve our business objectives.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global advertising industry experiences seasonal trends that affect the vast majority of participants in the digital advertising ecosystem. Most notably, advertisers have historically spent relatively more in the fourth quarter of the calendar year to coincide with the holiday shopping season, and relatively less in the first quarter. We expect seasonality trends to continue, thereby resulting in seasonality in our revenues and corresponding accounts receivable and accounts payable balances, and our ability to manage our resources in anticipation of these trends will affect our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6773" w:type="dxa"/>
        <w:jc w:val="left"/>
        <w:tblInd w:w="0" w:type="dxa"/>
        <w:tblLayout w:type="fixed"/>
        <w:tblCellMar>
          <w:top w:w="28" w:type="dxa"/>
          <w:left w:w="28" w:type="dxa"/>
          <w:bottom w:w="28" w:type="dxa"/>
          <w:right w:w="28" w:type="dxa"/>
        </w:tblCellMar>
      </w:tblPr>
      <w:tblGrid>
        <w:gridCol w:w="1563"/>
        <w:gridCol w:w="1376"/>
        <w:gridCol w:w="1380"/>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51460"/>
                <wp:effectExtent l="0" t="0" r="0" b="0"/>
                <wp:wrapNone/>
                <wp:docPr id="28" name="Frame2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 cash receipts from buyers and payments to publishers can significantly impact our cash flows from operating activities. In addition, we expect seasonality to impact quarterly cash flows from operating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net cash provided by operating activities of $17.3 million resulted primarily from adjustments for non-cash expenses of $18.2 million, including $10.0 million for depreciation and amortization and $8.5 million for stock-based compensation, a decrease in accounts receivable of $21.3 million, a decrease in prepaid expenses and other assets of $4.1 million, offset by a net loss of $12.5 million, a decrease in accounts payable of $1.0 million, and a decrease in accrued liabilities of $11.4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net cash provided by operating activities of $15.6 million resulted primarily from adjustments for non-cash expenses of $17.9 million, including $11.7 million for depreciation and amortization and $9.7 million for stock-based compensation, a decrease in accounts receivable of $75.7 million, a decrease in prepaid expenses and other assets of $5.7 million, offset by a net loss of $9.5 million, a decrease in accounts payable of $62.6 million, and a decrease in accrued liabilities of $11.3 million.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net cash used in investing activities was $9.6 million, primarily due to the purchase of a non-marketable equity investment of $3.0 million and $6.6 million of investments in capitalized internal use software.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net cash used in investing activities was $10.1 million, consisting of $1.4 million in purchases of property and equipment (primarily data center infrastructure), $6.9 million of investments in capitalized internal use software, and a net increase in investments of marketable securities of $1.7 million.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net cash used in financing activities of $8.1 million was primarily due to purchases of treasury stock of $8.5 million, offset by $0.5 million in proceeds from stock option exercises.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net cash used in financing activities of $4.5 million was primarily due to purchases of treasury stock of $5.0 million, including the prepayment of funds for future purchases of approximately $1.4 million, offset by proceeds from employee stock option exercises of $0.6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Contractual Obligations and Future Cash Requirements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contractual obligations consist of non-cancelable leases for our various facilities. In certain cases, the terms of the lease agreements provide for rental payments that increase over time.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to our contractual obligations disclosed in our Annual Report on Form 10-K for the fiscal year ended December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$6.5 million of long-term income tax liabilities, including interest, related to uncertain tax positions. Because of the high degree of uncertainty regarding the settlement of these liabilities, we are unable to estimate the years in which future cash outflows may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51460"/>
                <wp:effectExtent l="0" t="0" r="0" b="0"/>
                <wp:wrapNone/>
                <wp:docPr id="29" name="Frame2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prepare our condensed consolidated financial statements in accordance with GAAP. The preparation of the condensed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compared to the critical accounting policies and estimates described in our Management’s Discussion and Analysis of Financial Condition and Results of Operations, included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51460"/>
                <wp:effectExtent l="0" t="0" r="0" b="0"/>
                <wp:wrapNone/>
                <wp:docPr id="30" name="Frame3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certain market risks in the ordinary course of our business. These risks primarily include:</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cash and cash equivalents of $144.9 million as of March 31, 2026, which consisted of bank deposits, money market accounts, and time deposits. 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Our line of credit is at variable interest rates. We had no amounts outstanding under our credit facility as of March 31, 2026.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Currency Exchange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results of operations and cash flows are subject to fluctuations due to changes in foreign currency exchange rates. Historically, the majority of our buyer contracts have been denominated in U.S. Dollars while our publisher contracts have been primarily denominated in U.S. Dollars as well as the Euro, British Pound, and Australian Dollar. Additionally, our expenses are generally denominated in the currencies in which our operations are located, primarily the U.S. Dollar, Indian Rupee, British Pound, and Euro. In the event our foreign sales and expenses increase, our operating results may be more greatly affected by foreign currency exchange rate fluctuations, which can affect our operating income. A hypothetical 10% change in the U.S. Dollar to India Rupee exchange rate could result in a change of $0.5 million in our operating loss for the three months ended March 31, 2026. A hypothetical 10% change in the U.S. Dollar to British Pound exchange rate could result in a change of $0.6 million in our operating loss for the three months ended March 31, 2026.</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effect on our business, results of operations, or financial condition. If our costs were to become subject to significant inflationary pressures, for example in India, we might not be able to fully offset such higher costs through price increases. Our inability or failure to do so could adversely affect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36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Our management, with the participation of our principal executive officer and principal financial officer, has evaluated the effectiveness of our disclosure controls and procedures (as defined in Rules 13a-15(e) and 15d-15(e) under the Exchange Act), as of </w:t>
      </w:r>
      <w:r>
        <w:rPr>
          <w:rFonts w:ascii="Times New Roman;serif" w:hAnsi="Times New Roman;serif"/>
          <w:b w:val="false"/>
          <w:color w:val="000000"/>
          <w:sz w:val="20"/>
        </w:rPr>
        <w:t>March 31, 2026</w:t>
      </w:r>
      <w:r>
        <w:rPr>
          <w:rFonts w:ascii="Times New Roman;serif" w:hAnsi="Times New Roman;serif"/>
          <w:b w:val="false"/>
          <w:color w:val="000000"/>
          <w:sz w:val="20"/>
        </w:rPr>
        <w:t>. Based on such evaluation, our principal executive officer and principal financial officer have concluded that, as of such date, our disclosure controls and procedures were effective at a reasonable assurance level.</w:t>
      </w:r>
    </w:p>
    <w:p>
      <w:pPr>
        <w:pStyle w:val="TextBody"/>
        <w:bidi w:val="0"/>
        <w:spacing w:lineRule="auto" w:line="288" w:before="120" w:after="283"/>
        <w:ind w:left="0" w:right="0" w:firstLine="36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defined in Rules 13a-15(d) and 15d-15(d) under the Exchange Act) that occurred during the quarter ended March 31, 2026 that has materially affected, or is reasonably likely to materially affect, our internal control over financial reporting.</w:t>
      </w:r>
    </w:p>
    <w:p>
      <w:pPr>
        <w:pStyle w:val="TextBody"/>
        <w:bidi w:val="0"/>
        <w:spacing w:lineRule="auto" w:line="288" w:before="120" w:after="283"/>
        <w:ind w:left="0" w:right="0" w:firstLine="360"/>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 and Procedures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51460"/>
                <wp:effectExtent l="0" t="0" r="0" b="0"/>
                <wp:wrapNone/>
                <wp:docPr id="31" name="Frame3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8, 2025, we filed a civil action against Google LLC (“Google”) in the U.S. District Court for the Eastern District of Virginia seeking injunctive relief and damages for monopolistic and anticompetitive behavior in the publisher ad server and ad exchange markets for open-web display advertising. Given the nature of the case, including that the proceedings are in their early stages, we are unable to predict the ultimate outcome of the case.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8, “Commitments and Contingencies,” to our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The Company’s business, operations, financial results, and our stock price can be affected by a number of factors, whether currently known or unknown, including those described in Part I, Item 1A, "Risk Factors" in our Annual Report on Form 10-K for the year ended December 31, 2025. When any one or more of these risks materialize from time to time, such developments could adversely affect our business, financial condition, results of operations, cash flows, and the trading price of our stock. These disclosures reflect the Company's beliefs and opinions as to factors that could materially and adversely affect the Company and its securities in the future. References to past events are provided by way of example only and are not intended to be a complete listing of such events or a representation as to whether or not such factors or similar events have occurred in the past or their likelihood of occurring in the future. Below are material changes to our risk factors since our Annual Report on Form 10-K for the year ended December 31,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Business, Results of Operations and Growth</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revenue and results of operations are highly dependent on the overall demand for advertising.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the overall demand for advertising and on the economic health of our current and prospective publishers and buyers. In recent years, macroeconomic factors such as general economic volatility, recessionary fears, inflation, volatile interest rates and softening demand in certain verticals caused some advertisers to reduce their advertising budgets. Such macroeconomic factors, as well as broader economic downturns, recessions, transnational trade wars or disruptions, inflation, further volatility in interest rates or foreign exchange rates or any supply chain disruptions, changes in the tax treatment of advertising expenses, or general financial uncertainty in North America, Europe, and Asia, where we do most of our business; could adversely affect our business, results of operations, and financial condition. In addition, the conflict in Ukraine and the resumption of the conflict in Israel could cause unpredictable economic effects in Europe and EMEA, including potentially softening general consumer demand. Additionally, the imposition of significant tariffs and retaliatory trade measures by the United States and its trading partners, and any resulting trade war or prolonged disruption to global trade flows, could dampen advertiser budgets, increase operating costs, reduce consumer spending, and adversely affect economic conditions in the markets in which we operate, including North America, Europe, and Asia. Escalating geopolitical tensions, including in the Middle East, could compound these effects by disrupting energy markets, global supply chains, and general consumer and business confidence. Such conflicts may increase costs of labor and other items impacting our cost of revenue, and these factors and potential others may do so in the future. Reductions in overall advertising spending due to these factors or other factors could make it difficult to predict our revenue and could adversely affect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51460"/>
                <wp:effectExtent l="0" t="0" r="0" b="0"/>
                <wp:wrapNone/>
                <wp:docPr id="32" name="Frame3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results of operations may fluctuate significantly and may not meet our expectations or those of securities analysts and investors.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an evolving industry with ever-changing customer needs and behavior, and, as a result, our business has evolved over time such that our operating history makes it difficult to evaluate our business and future prospects. Our results of operations have fluctuated in the past, and future results of operations are likely to fluctuate as well. Although we have experienced prolonged revenue growth, we may not be able to sustain this growth rate, current revenue levels, or profitability. In addition, because our business is evolving, our historical results of operations may be of limited utility in assessing our future prospects. We expect to face challenges, risks, and difficulties frequently experienced by growing companies in rapidly developing industries, including those relating to: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demand and pricing for ad impressions sold on our platform;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our access to valuable ad impressions from publishers;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responding to evolving industry standards and government regulations that impact our business, particularly in the areas of data protection and consumer privacy;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developing, maintaining, and expanding relationships with publishers, DSPs, agencies, advertisers, and buyers;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seasonality in our business;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demand due to real or perceived economic stagnation or recession in certain markets;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innovating and developing new solutions that are adopted by and meet the needs of publishers, DSPs, agencies, advertisers, and buyers;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competing against companies with a larger customer base or greater financial or technical resources;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the structure of the buying and selling of ad impressions;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the pricing policies of publishers and competitors;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the bidding behavior of buyers of ad impressions;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buyer bidding algorithms, including the deployment of artificial intelligence or automated optimization technologies by buyers that reduce the volume or value of impressions purchased through our platform;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disruption to the digital advertising ecosystem driven by artificial intelligence, including the displacement of traditional programmatic advertising channels or reduction in open-web publisher traffic resulting from AI-powered search features or large language model-based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demand due to changes in macroeconomic environment, including as a result of an economic downturn, recession, inflation, volatility in interest rates or foreign exchange rates, disruptions to supply chains, disruptions to global trade, or otherwise;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further expanding our business internationally;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recruiting, integrating, and retaining qualified and motivated employees, particularly engineers.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one or more of the factors above may result in significant fluctuations in our results of operations. You should not rely on our past results as an indicator of our future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51460"/>
                <wp:effectExtent l="0" t="0" r="0" b="0"/>
                <wp:wrapNone/>
                <wp:docPr id="33" name="Frame3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Artificial Intelligence and Machine Learning</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We rely on machine learning and artificial intelligence technologies that may produce inaccurate or biased outputs, and our models may become less effective over time.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core platform operations, including real-time bidding, auction optimization, yield management, and audience targeting, depend on machine learning and artificial intelligence technologies that require large volumes of high-quality data. These models may produce inaccurate, incomplete, biased, or otherwise flawed outputs. If our training data contains errors, biases, or inconsistencies, or if market conditions, consumer behavior, or buyer and publisher dynamics change in ways not reflected in our historical training data, our models may perform below expectations. Poor model performance could result in suboptimal auction outcomes for our publishers and buyers, degraded platform competitiveness, loss of customer trust, and revenue decline. Our model validation and monitoring procedures may not detect all failures or performance degradation in a timely manner, particularly under novel or unanticipated conditions. Retraining or replacing models could be costly and time-consuming. Additionally, if our AI systems produce or inform decisions that are perceived as biased or unfair, we could face reputational harm, legal liability, or regulatory action. Any of these outcomes could adversely affect our business, results of operations, and financial condition.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Generative artificial intelligence and AI-powered search features may reduce open-web publisher traffic and disrupt the programmatic advertising ecosystem.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Generative artificial intelligence technologies, including AI-powered search features, large language model-based assistants, and agentic AI systems, may reduce the volume of user traffic directed to publisher websites by providing direct answers to user queries and bypassing traditional web navigation. As publishers experience traffic declines resulting from AI-mediated content consumption, the volume and value of advertising inventory available on our platform may decrease. This risk is particularly acute for open-web publishers that rely on search-driven and algorithmically distributed traffic to monetize their content through programmatic advertising. Additionally, the emergence of AI agents—autonomous systems that act on behalf of consumers—could further disrupt traditional web browsing behavior and the programmatic advertising ecosystem in ways we cannot fully anticipate. If these shifts reduce advertiser and publisher reliance on programmatic supply-side platforms, we may be unable to develop alternative revenue streams or adapt our platform sufficiently to offset the disruption. Any such development could have a material adverse effect on our business, revenues, and results of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Competition from companies with greater artificial intelligence capabilities may adversely affect our business and market position.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compete with large technology platforms and other companies that have significantly greater resources to invest in artificial intelligence and machine learning capabilities. These competitors are deploying generative AI and advanced machine learning systems to build advertising solutions, expand closed ecosystems, and develop identity-independent targeting approaches that may reduce the value of independent supply-side platforms. If our competitors develop AI capabilities that are superior to ours, or if AI-driven consolidation accelerates buyer and publisher preferences for closed ecosystems or vertically integrated platforms, we could lose market share, experience pricing pressure, or face reduced demand for our services. Competition for engineers and data scientists with AI and machine learning expertise is intense, and our ability to attract and retain such talent is essential to our competitive position. If we are unable to develop, acquire, or retain competitive AI capabilities, our business, results of operations, and financial condition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51460"/>
                <wp:effectExtent l="0" t="0" r="0" b="0"/>
                <wp:wrapNone/>
                <wp:docPr id="34" name="Frame3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Evolving laws and regulations governing artificial intelligence may impose significant compliance obligations and expose us to liability.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Regulatory frameworks governing the development and use of artificial intelligence are evolving rapidly across the United States, the European Union, and other jurisdictions in which we operate. In particular, the European Union’s Artificial Intelligence Act (“EU AI Act”) imposes obligations on providers and deployers of AI systems, with key provisions applicable to general-purpose AI and higher-risk applications taking effect on August 2, 2026. Compliance with the EU AI Act may require us to classify our AI systems, conduct conformity assessments, implement risk management and human oversight procedures, maintain technical documentation, and provide transparency to affected parties. Failure to comply could expose us to penalties of up to €15 million or 3% of worldwide annual turnover, as well as operational disruptions and reputational harm. In the United States, numerous states are considering or have enacted legislation governing AI systems, automated decision-making, and algorithmic transparency, and the regulatory landscape continues to evolve. The cost of compliance with AI regulations, individually and in the aggregate, may be substantial, and evolving requirements could require us to modify product design, data practices, or business operations in ways that are difficult to predict. Any failure to comply with applicable AI laws and regulations could adversely affect our business, financial condition, and results of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The proliferation of AI-generated content may create brand safety risks and inventory quality challenges that adversely affect our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rapid proliferation of AI-generated content across publisher websites presents emerging brand safety and inventory quality challenges. AI-generated content may contain inaccurate information, biases, or inappropriate material that advertisers may consider unsuitable for association with their brand. If advertisements served through our platform are placed alongside AI-generated content that harms an advertiser’s brand reputation, our customers may reduce their spending on our platform, seek alternative solutions, or pursue claims against us. Our ability to accurately identify and classify AI-generated content in real time as part of our inventory quality and brand safety processes is still developing, and we cannot guarantee that our detection and mitigation tools will be effective against all forms of AI-generated content. In addition, emerging regulatory requirements for the disclosure and labeling of AI-generated content may impose additional compliance obligations on us and our publisher customers. If we are unable to adequately address AI-generated content risks, our business, results of operations, and financial condition could be adversely affected.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 Related to our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cannot guarantee that our share repurchase program will be fully consummated or that it will enhance long-term stockholder value. Share repurchases could also increase the volatility of the trading price of our stock and diminish our cash reserves.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2023, our board of directors authorized and approved a program pursuant to which we could repurchase up to $75.0 million in aggregate of shares of our Class A common stock, with the authorization to expire on December 31, 2024 (as amended, the “2023 Repurchase Program”). On February 22, 2024, our board of directors authorized an increase and extension to the 2023 Repurchase Program from $75.0 million to $175.0 million through December 31, 2025. On May 7, 2025, our board of directors authorized a further increase and extension to the 2023 Repurchase Program, increasing the total amount authorized for repurchase from $175.0 million to $275.0 million and extending the 2023 Repurchase Program through December 31, 2026 (the “2025 Repurchase Program Extension”). As of March 31, 2026, we have repurchased approximately $189.9 million of our Class A common stock in aggregate under the 2023 Repurchase Program. Although our board of directors authorized the 2025 Repurchase Program Extension,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for example, volatile interest rates, inflation, and geopolitical uncertainty. The 2023 Repurchase Program may be modified, suspended, or terminated at any time, and we cannot guarantee that the 2023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51460"/>
                <wp:effectExtent l="0" t="0" r="0" b="0"/>
                <wp:wrapNone/>
                <wp:docPr id="35" name="Frame3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Regulations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We are subject to constantly evolving laws, regulations and industry requirements related to data privacy, data protection, information security, and consumer protection across the markets we operate in.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receive, store, and process data about or related to consumers in addition to publisher, buyer, partner, employee, and services provider or vendor data. Our handling of this data is subject to numerous federal, state, and foreign laws and regulations that are constantly evolving and not always consistent across jurisdictions. We are also subject to regulation by various governmental authorities in addition to federal and state regulations. Our data handling is further subject to contractual obligations and may be deemed to be subject to industry standards and trade associations.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 federal government and various state and foreign governments have adopted or proposed limitations on the collection, distribution, use, and storage of data relating to individuals, including the use of contact information, precise geolocation information, and other data for marketing, advertising and other communications with individuals and businesses. In the United States, various laws and regulations apply to the collection, processing, disclosure, and security of certain types of data. Additionally, the U.S. Federal Trade Commission and many state attorneys general are interpreting federal and state consumer protection laws as imposing standards for the online collection, use, dissemination, and security of data. These regulatory regimes are constantly evolving and not always interpreted in a consistent manner. If we fail to comply with any such laws or regulations, we may be subject to enforcement actions that may not only expose us to litigation, fines, and civil and/or criminal penalties, but also require us to change our business practices, each of which could adversely affect our business, results of operations, and financial condition.</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 regulatory framework for data privacy worldwide is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have been placed upon the collection, management, aggregation, transfer, and use of information, and compliance with those restrictions may require us to change how we collect, manage, aggregate, transfer, and use data in the future, which could result in a material increase in the cost of collecting or otherwise obtaining certain kinds of data.</w:t>
      </w:r>
      <w:r>
        <w:rPr>
          <w:color w:val="000000"/>
        </w:rPr>
        <w:t xml:space="preserve"> </w:t>
      </w:r>
      <w:r>
        <w:rPr>
          <w:rFonts w:ascii="Times New Roman;serif" w:hAnsi="Times New Roman;serif"/>
          <w:b w:val="false"/>
          <w:color w:val="000000"/>
          <w:sz w:val="20"/>
        </w:rPr>
        <w:t>These restrictions could further limit the ways in which we may use or disclose information or may require us to make changes to our offerings, which could adversely affect our business, results of operations, and financial condition.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have come under increasing scrutiny by legislative, regulatory, and self-regulatory bodies in the United States and abroad that focus on consumer protection or data privacy.</w:t>
      </w:r>
      <w:r>
        <w:rPr>
          <w:color w:val="000000"/>
        </w:rPr>
        <w:t xml:space="preserve"> </w:t>
      </w:r>
      <w:r>
        <w:rPr>
          <w:rFonts w:ascii="Times New Roman;serif" w:hAnsi="Times New Roman;serif"/>
          <w:b w:val="false"/>
          <w:color w:val="000000"/>
          <w:sz w:val="20"/>
        </w:rPr>
        <w:t xml:space="preserve">In addition, the steps taken by companies to de-identify personal data, to use and distribute the resulting data, including for purposes of personalization and the targeting of advertisements, have also been a frequent target of scrutiny by these authorities. Much of the related regulatory activity has focused on the use of cookies and other technology to collect information about Internet users’ online browsing activity on web browsers, mobile devices, and other devices, to associate such data with user or mobile advertising identifiers or de-identified identities across devices and channels. There is also increased regulatory focus on the use of geolocation data that aims to limit what can be collected, what kind of consent may be required with respect to the same, and how such data may be used, exchanged, or disclosed to others.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governmental authorities, providers of Internet browsers maintain significant control over cookies and similar technologies and the data collected using such technologies. Because we, and our customers, rely upon large volumes of such data collected primarily through cookies and similar technologies, it is possible that these providers could have a substantial impact on our ability to collect and use data from Internet users. It is essential that we engage in responsible privacy practices, including providing consumers with notice of the types of data we collect and how we use that data to provide our services.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U.S. Congress and state legislatures, along with federal regulatory authorities, have increased their attention on matters concerning the collection and use of consumer data. In the United States, non-sensitive consumer data generally may be used under current rules and regulations, subject to certain restrictions, so long as the person does not affirmatively “opt-out” of the collection or use of such data. If an “opt-in” model or other more restrictive regulations were to be adopted in the United States, less data would be available, and the cost of data would be higher. It is uncertain what steps the second Trump Administration in the United States may take to expand, curtail, or alter the current federal regulatory regime in which we operate.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51460"/>
                <wp:effectExtent l="0" t="0" r="0" b="0"/>
                <wp:wrapNone/>
                <wp:docPr id="36" name="Frame3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California enacted the California Consumer Privacy Act (as amended, “CCPA”) which took effect in January 2020. The CCPA created individual privacy rights for California residents, including rights of deletion and access, and increased the privacy and security obligations of businesses handling personal data. The CCPA is also still enforceable by the California Attorney General, and there is a CCPA private right of action relating to certain data security incidents. The CCPA generally requires covered businesses to, among other things, provide disclosures to California consumers regarding the collection, use and disclosure of their personal data. The CCPA also affords California consumers the ability to opt-out of certain sales of personal data, a concept that is defined broadly and is subject to evolving regulations promulgated initially by the California Attorney General, and now the California Privacy Protection Agency (“CPPA”), a newly created agency charged with CCPA rulemaking and enforcement.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CCPA amendments have also imposed additional data protection obligations on companies doing business in California, including additional consumer rights processes and opt-outs for certain uses of sensitive data and “sharing” of personal data for cross-context behavioral advertising. The effects of the CCPA, including from expected but not yet promulgated regulations, are potentially significant and may require us to modify our data collection or processing practices and policies and to incur substantial costs and expenses in an effort to comply, which will increase our potential exposure to regulatory enforcement and/or litigation. Decreased availability and increased costs of information due to implementing the CCPA, could adversely affect our ability to meet our customers’ requirements and could have an adverse effect on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regulations under the CCPA, the California Privacy Protection Agency have also promulgated regulations as a result of the California Delete Act, which applies to those entities defined as ‘data brokers’ under the CCPA amendments. The Delete Act requires the CPPA to establish an accessible data deletion mechanism by January 1, 2026, to allow California consumers to submit a single verifiable consumer request to delete their data across all data brokers. By providing an opportunity for mass data subject requests, the Delete Act imposes compliance and operational costs and has the potential to limit the availability of personal data that PubMatic may utilize for targeted advertising.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California Invasion of Privacy Act (as amended, “CIPA”) has become the basis for a growing number of lawsuits against digital advertising companies. Plaintiffs have argued that CIPA prohibits certain forms of interception of communications and the use of pen registers or similar tracking devices without the consent of all parties to the communication. Plaintiffs in several recent cases have alleged that adtech intermediaries—including supply side platforms (SSPs)—have violated CIPA by participating in the interception of communications between consumers and websites through the use of tracking pixels, cookies, session replay scripts, or real-time bidding signals. Although we believe our practices comply with applicable laws, the legal framework surrounding CIPA is unsettled and continues to evolve through litigation and courts have issued conflicting decisions regarding the scope of CIPA’s application to modern internet technologies. Should plaintiffs successfully argue that our participation in the adtech ecosystem constitutes a violation of CIPA, we could be subject to significant statutory damages costly litigation, injunctions, or other regulatory actions. Even unmeritorious claims can result in substantial legal expenses and divert management attention. If similar claims are adopted by courts in other jurisdictions, or if regulators issue adverse guidance interpreting these practices as unlawful under CIPA or other statutes, our exposure could increase and our business, results of operations, and financial condition could be adversely affected.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CCPA has encouraged “copycat” laws in other states across the country. Following California’s lead, over a third of other U.S. states have enacted comprehensive consumer privacy laws as well as privacy laws targeted at specific industries or types of data, and at data brokers specifically. Numerous other states have or are in the process of passing their own privacy or privacy-adjacent laws. Compliance with new privacy legislation adds complexity and may require investment in additional resources for compliance programs, thus potentially resulting in additional costs and expense of resources to maintain compliance. We cannot yet fully predict the impact of such state laws or subsequent guidance on our business or operations, but it may require us to further modify our data processing practices and policies and to incur substantial costs and expenses in an effort to comply, including the opportunity cost of devoting resources to developing compliance solutions over expanded platform capabilities. New and proposed legislation has added and may in the future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 In some cases, different regulatory regimes may interpret certain practices differently, and there may be contradiction among the regimes in which we operate. Although proposals are regularly introduced in Congress, it remains to be seen whether the U.S. will implement comprehensive federal consumer privacy legislation.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51460"/>
                <wp:effectExtent l="0" t="0" r="0" b="0"/>
                <wp:wrapNone/>
                <wp:docPr id="37" name="Frame3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Europe, the GDPR took effect on May 25, 2018, and applies to products and services that we provide in Europe, as well as the processing of personal data of European Union (“EU”) citizens, wherever that processing occurs. The United Kingdom (“U.K.”) implemented the Data Protection Act, effective May 2018, and statutorily amended it in 2019 to contain provisions, including its own derogations, for how GDPR is applied in the U.K. post-Brexit (the “UK GDPR”). The GDPR includes operational requirements for companies that receive or process personal data of residents of the EU. For example, we are required to offer consent mechanisms to data subjects in Europe before processing data for certain aspects of our service. Failure to comply with GDPR may result in significant penalties for non-compliance of up to the greater of €20 million (£17.5 million in the U.K.) or 4% of an enterprise’s global annual revenue.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European regulators continue to be focused on compliance with requirements in the online behavioral advertising ecosystem and enforcing national laws that implement the ePrivacy Directive (commonly called the “Cookie Directive”) in those ecosystems. European court decisions and regulators’ recent guidance continue to drive increased attention to cookies and tracking technologies. As regulators start to enforce a stricter approach (which has already begun to occur in Germany, where data protection authorities have initiated a probe on third-party cookies), this could lead to substantial costs, require significant systems changes, limit the effectiveness of our marketing activities, divert the attention of our technology personnel, adversely affect our margins, increase costs, and subject us to additional liabilities.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GDPR and ePrivacy Directive, the EU AI Act imposes further obligations on companies that develop or deploy AI systems that process personal data. Key provisions of the EU AI Act take effect on August 2, 2026, and may require us to document the data used to train and operate our AI and machine learning models, conduct assessments of AI system risks, implement human oversight mechanisms, and provide transparency to affected parties. These obligations intersect significantly with our existing GDPR compliance obligations and may require additional investment in compliance infrastructure, documentation, and personnel. Failure to comply with the EU AI Act could expose us to penalties of up to €15 million or 3% of worldwide annual turnover, reputational harm, or operational restrictions. As the EU AI Act is still being interpreted and guidance from regulators is developing, we cannot fully predict the compliance costs or operational impacts at this time.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IAB Europe previously collaborated with the digital advertising industry to create a user-facing framework (the Transparency and Consent Framework, or “TCF”) for establishing and managing legal bases under the GDPR and other U.K. and EU privacy laws including the ePrivacy Directive. In February 2022, the Belgian Data Protection Authority (“DPA”) issued an order against IAB Europe that imposes specific remedies on IAB Europe and its operation of TCF. IAB Europe appealed the Belgian DPA’s decision, and the Belgian Market Court issued an interim ruling on the appeal and referred preliminary questions to the CJEU for guidance. IAB Europe subsequently issued an updated version of the TCF, and following the CJEU’s March 2024 ruling, the appeal remains in the Belgian Market Court on the substantive questions posed.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some countries, including India, Brazil, Thailand, and Japan, are considering or have passed legislation implementing data protection requirements or requiring local storage and processing of data or similar requirements that could increase the cost and complexity of delivering our services or force us to change business practices to conform to local law. The U.S. federal government has additionally added restrictions on the flow of certain data to China and other so called “countries of concern” which has the potential to limit with whom we may partner or the data we are able to share with certain partners. Any failure to achieve required data protection standards (which are not currently clear when applied to the online advertising ecosystem) may result in lawsuits, regulatory fines, or other actions or liability, all of which may harm our results of operations and revenue opportunities. Because the interpretation and application of privacy and data protection laws, such as the CCPA and GDPR, and their related regulations and standards, are potentially uncertain and may be different across jurisdictions, it is possible that these laws, regulations and standards may be interpreted and applied in manners that are, or are asserted to be, inconsistent with our data management practices or the technological features of our solutions.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51460"/>
                <wp:effectExtent l="0" t="0" r="0" b="0"/>
                <wp:wrapNone/>
                <wp:docPr id="38" name="Frame3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subject to regulation with respect to political advertising activities, which are governed by various federal and state laws in the United States, and national and provincial laws worldwide. Online political advertising laws are rapidly evolving, and our publishers may impose restrictions on receiving political advertising, especially in light of recent elections both in the United States and in foreign jurisdictions.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collection and processing of health-related data presents heightened compliance risks due to the broad and ambiguous language of emerging privacy laws such as Washington’s My Health My Data Act (“MHMD”) and the Nevada Consumer Health Data Law. These laws expand the definition of “consumer health data” far beyond traditional medical information, potentially encompassing data points that are commonly used in digital advertising, such as location data, app usage, and browsing history when linked to health-related interests. Unlike HIPAA, which applies to specific entities such as healthcare providers, these new state laws cast a wider net, creating uncertainty around what constitutes health data and how it must be handled. Compliance obligations, including obtaining explicit consumer consent, offering broad deletion rights, and imposing strict contractual restrictions on data sharing, introduce operational complexity and potential liability for companies such as ours. Additionally, these laws contain private rights of action, exposing businesses to costly class action lawsuits even in cases where health-related data is inadvertently inferred rather than explicitly collected. As enforcement of these regulations ramps up, our company must continuously assess and adapt our data practices to mitigate risk, which may require limiting certain data-driven advertising use cases or investing in additional compliance infrastructure, impacting operational efficiency and revenue opportunities.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being imposed on us. Additionally, some of these self-regulatory bodies might refer violations of their requirements to the U.S. Federal Trade Commission or other regulatory bodies. If we were to be found responsible for such a violation, it could adversely affect our reputation, as well as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51460"/>
                <wp:effectExtent l="0" t="0" r="0" b="0"/>
                <wp:wrapNone/>
                <wp:docPr id="39" name="Frame3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 OF EQUITY SECURITIES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repurchases of our Class A common stock during the three months ended March 31, 2026:</w:t>
      </w:r>
    </w:p>
    <w:tbl>
      <w:tblPr>
        <w:tblW w:w="10205" w:type="dxa"/>
        <w:jc w:val="left"/>
        <w:tblInd w:w="0" w:type="dxa"/>
        <w:tblLayout w:type="fixed"/>
        <w:tblCellMar>
          <w:top w:w="28" w:type="dxa"/>
          <w:left w:w="28" w:type="dxa"/>
          <w:bottom w:w="28" w:type="dxa"/>
          <w:right w:w="28" w:type="dxa"/>
        </w:tblCellMar>
      </w:tblPr>
      <w:tblGrid>
        <w:gridCol w:w="541"/>
        <w:gridCol w:w="408"/>
        <w:gridCol w:w="415"/>
        <w:gridCol w:w="109"/>
        <w:gridCol w:w="109"/>
        <w:gridCol w:w="109"/>
        <w:gridCol w:w="716"/>
        <w:gridCol w:w="421"/>
        <w:gridCol w:w="422"/>
        <w:gridCol w:w="109"/>
        <w:gridCol w:w="109"/>
        <w:gridCol w:w="109"/>
        <w:gridCol w:w="287"/>
        <w:gridCol w:w="696"/>
        <w:gridCol w:w="148"/>
        <w:gridCol w:w="109"/>
        <w:gridCol w:w="109"/>
        <w:gridCol w:w="109"/>
        <w:gridCol w:w="919"/>
        <w:gridCol w:w="690"/>
        <w:gridCol w:w="692"/>
        <w:gridCol w:w="109"/>
        <w:gridCol w:w="109"/>
        <w:gridCol w:w="109"/>
        <w:gridCol w:w="369"/>
        <w:gridCol w:w="1895"/>
        <w:gridCol w:w="278"/>
      </w:tblGrid>
      <w:tr>
        <w:trPr/>
        <w:tc>
          <w:tcPr>
            <w:tcW w:w="54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Average Price Paid Per Share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Total Number of Shares Purchased as Part of Publicly Announced Plans or Programs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Approximate Dollar Value of Shares that May Yet Be Purchased Under the Plans or Programs</w:t>
            </w:r>
            <w:r>
              <w:rPr>
                <w:rFonts w:ascii="Times New Roman;serif" w:hAnsi="Times New Roman;serif"/>
                <w:b w:val="false"/>
                <w:color w:val="000000"/>
                <w:sz w:val="13"/>
              </w:rPr>
              <w:t>(1)</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 January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93,903,451 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 February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93,903,451 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1,048,650 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1,048,650 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85,114,274 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1,048,650 </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1,048,650 </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above do not include the 1% excise tax on stock repurchases enacted by the Inflation Reduction Act of 2022.</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(1)On February 28, 2023, we announced the authorization of a share repurchase program for the repurchase of shares of our Class A common stock in an aggregate amount of up to $75 million through December 31, 2024. On February 26, 2024, we announced the authorization of an additional $100 million under our share repurchase program for the repurchase of shares of our Class A common stock through December 31, 2025. On May 30, 2025, we announced the authorization of an additional $100 million under our 2023 Repurchase Program for the repurchase of shares of our Class A common stock through December 31, 2026. As of March 31, 2026, we had purchased approximately $189.9 million of our Class A common stock.</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51460"/>
                <wp:effectExtent l="0" t="0" r="0" b="0"/>
                <wp:wrapNone/>
                <wp:docPr id="40" name="Frame4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333"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 Trading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the following trading plans were adopted or terminated:</w:t>
      </w:r>
    </w:p>
    <w:tbl>
      <w:tblPr>
        <w:tblW w:w="10205" w:type="dxa"/>
        <w:jc w:val="left"/>
        <w:tblInd w:w="0" w:type="dxa"/>
        <w:tblLayout w:type="fixed"/>
        <w:tblCellMar>
          <w:top w:w="28" w:type="dxa"/>
          <w:left w:w="28" w:type="dxa"/>
          <w:bottom w:w="28" w:type="dxa"/>
          <w:right w:w="28" w:type="dxa"/>
        </w:tblCellMar>
      </w:tblPr>
      <w:tblGrid>
        <w:gridCol w:w="363"/>
        <w:gridCol w:w="264"/>
        <w:gridCol w:w="269"/>
        <w:gridCol w:w="109"/>
        <w:gridCol w:w="109"/>
        <w:gridCol w:w="109"/>
        <w:gridCol w:w="390"/>
        <w:gridCol w:w="365"/>
        <w:gridCol w:w="370"/>
        <w:gridCol w:w="109"/>
        <w:gridCol w:w="109"/>
        <w:gridCol w:w="109"/>
        <w:gridCol w:w="344"/>
        <w:gridCol w:w="344"/>
        <w:gridCol w:w="348"/>
        <w:gridCol w:w="109"/>
        <w:gridCol w:w="109"/>
        <w:gridCol w:w="109"/>
        <w:gridCol w:w="193"/>
        <w:gridCol w:w="193"/>
        <w:gridCol w:w="197"/>
        <w:gridCol w:w="109"/>
        <w:gridCol w:w="109"/>
        <w:gridCol w:w="109"/>
        <w:gridCol w:w="240"/>
        <w:gridCol w:w="240"/>
        <w:gridCol w:w="219"/>
        <w:gridCol w:w="141"/>
        <w:gridCol w:w="141"/>
        <w:gridCol w:w="141"/>
        <w:gridCol w:w="346"/>
        <w:gridCol w:w="346"/>
        <w:gridCol w:w="357"/>
        <w:gridCol w:w="109"/>
        <w:gridCol w:w="109"/>
        <w:gridCol w:w="109"/>
        <w:gridCol w:w="659"/>
        <w:gridCol w:w="377"/>
        <w:gridCol w:w="291"/>
        <w:gridCol w:w="109"/>
        <w:gridCol w:w="109"/>
        <w:gridCol w:w="109"/>
        <w:gridCol w:w="320"/>
        <w:gridCol w:w="320"/>
        <w:gridCol w:w="465"/>
      </w:tblGrid>
      <w:tr>
        <w:trPr/>
        <w:tc>
          <w:tcPr>
            <w:tcW w:w="3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Rule 10b5-1*</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Non-Rule 10b5-1**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Shares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Expiration Date</w:t>
            </w:r>
          </w:p>
        </w:tc>
      </w:tr>
      <w:tr>
        <w:trPr/>
        <w:tc>
          <w:tcPr>
            <w:tcW w:w="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Mukul Kumar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Engineering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Terminated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X </w:t>
            </w:r>
            <w:r>
              <w:rPr>
                <w:rFonts w:ascii="Times New Roman;serif" w:hAnsi="Times New Roman;serif"/>
                <w:b w:val="false"/>
                <w:color w:val="000000"/>
                <w:sz w:val="13"/>
              </w:rPr>
              <w:t>(2)</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104,000 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7/17/2026</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Mukul Kumar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Engineering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Adopted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X </w:t>
            </w:r>
            <w:r>
              <w:rPr>
                <w:rFonts w:ascii="Times New Roman;serif" w:hAnsi="Times New Roman;serif"/>
                <w:b w:val="false"/>
                <w:color w:val="000000"/>
                <w:sz w:val="13"/>
              </w:rPr>
              <w:t>(2)</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96,000 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5/31/2027</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Andrew Woods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Adopted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X </w:t>
            </w:r>
            <w:r>
              <w:rPr>
                <w:rFonts w:ascii="Times New Roman;serif" w:hAnsi="Times New Roman;serif"/>
                <w:b w:val="false"/>
                <w:color w:val="000000"/>
                <w:sz w:val="13"/>
              </w:rPr>
              <w:t>(2)</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91,016 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7/30/2027</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Rajeev Goel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Adopted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X </w:t>
            </w:r>
            <w:r>
              <w:rPr>
                <w:rFonts w:ascii="Times New Roman;serif" w:hAnsi="Times New Roman;serif"/>
                <w:b w:val="false"/>
                <w:color w:val="000000"/>
                <w:sz w:val="13"/>
              </w:rPr>
              <w:t>(2)</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1,223,706 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7/30/2027</w:t>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Intended to satisfy the affirmative defense of Rule 10b5-1(c).</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Not intended to satisfy the affirmative defense of Rule 10b5-1(c).</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(1)Mr. Kumar modified his existing 10b5-1 plan on March 3, 2026. Pursuant to Rule 10b5-1(c)(1)(iv), the modification to Mr. Kumar's 10b5-1 plan is deemed a termination of his prior plan and an adoption of a new plan. Mr. Kumar is subject to a 90-day cooling off period following the deemed adoption of his new plan before any trading can commence under the modified plan.</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(2)The 10b5-1 plan included a representation from the officer to the broker administering the plan that they were not in possession of any material nonpublic information regarding the Company or the securities subject to the plan. A similar representation was made to the Company in connection with the adoption of the plan under the Company’s insider trading policy. Those representations were made as of the date of adoption of the 10b5-1 plan, and speak only as of that date. In making those representations, there is no assurance with respect to any material non-public information of which the officer was unaware, or with respect to any material non-public information acquired by the officer or the Company after the date of the representation. </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(3)The aggregate number of RSU Shares that will be available for sale under the Plan is not yet determinable because the shares available will be net of shares sold to satisfy tax withholding obligations that arise in connection with the vesting and settlement of such RSU awards. As such, for purposes of this disclosure, the shares included in this table reflect the aggregate maximum number of shares underlying the holders RSUs without excluding the shares that will be sold to satisfy the tax withholding obligations.</w:t>
      </w:r>
    </w:p>
    <w:p>
      <w:pPr>
        <w:pStyle w:val="TextBody"/>
        <w:bidi w:val="0"/>
        <w:spacing w:before="120" w:after="283"/>
        <w:ind w:left="0" w:right="0" w:hanging="36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51460"/>
                <wp:effectExtent l="0" t="0" r="0" b="0"/>
                <wp:wrapNone/>
                <wp:docPr id="41" name="Frame4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0" w:after="0"/>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7"/>
        <w:gridCol w:w="235"/>
        <w:gridCol w:w="236"/>
        <w:gridCol w:w="109"/>
        <w:gridCol w:w="109"/>
        <w:gridCol w:w="109"/>
        <w:gridCol w:w="1606"/>
        <w:gridCol w:w="1449"/>
        <w:gridCol w:w="1353"/>
        <w:gridCol w:w="109"/>
        <w:gridCol w:w="109"/>
        <w:gridCol w:w="109"/>
        <w:gridCol w:w="170"/>
        <w:gridCol w:w="170"/>
        <w:gridCol w:w="171"/>
        <w:gridCol w:w="109"/>
        <w:gridCol w:w="109"/>
        <w:gridCol w:w="109"/>
        <w:gridCol w:w="145"/>
        <w:gridCol w:w="145"/>
        <w:gridCol w:w="146"/>
        <w:gridCol w:w="109"/>
        <w:gridCol w:w="109"/>
        <w:gridCol w:w="109"/>
        <w:gridCol w:w="210"/>
        <w:gridCol w:w="210"/>
        <w:gridCol w:w="211"/>
        <w:gridCol w:w="109"/>
        <w:gridCol w:w="109"/>
        <w:gridCol w:w="109"/>
        <w:gridCol w:w="201"/>
        <w:gridCol w:w="201"/>
        <w:gridCol w:w="202"/>
        <w:gridCol w:w="109"/>
        <w:gridCol w:w="109"/>
        <w:gridCol w:w="109"/>
        <w:gridCol w:w="266"/>
        <w:gridCol w:w="266"/>
        <w:gridCol w:w="383"/>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21"/>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12026exhibit311.htm">
              <w:r>
                <w:rPr>
                  <w:rStyle w:val="InternetLink"/>
                  <w:rFonts w:ascii="Times New Roman;serif" w:hAnsi="Times New Roman;serif"/>
                  <w:b w:val="false"/>
                  <w:color w:val="0000FF"/>
                  <w:sz w:val="20"/>
                  <w:u w:val="single"/>
                </w:rPr>
                <w:t>Certification of Chief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12026exhibit312.htm">
              <w:r>
                <w:rPr>
                  <w:rStyle w:val="InternetLink"/>
                  <w:rFonts w:ascii="Times New Roman;serif" w:hAnsi="Times New Roman;serif"/>
                  <w:b w:val="false"/>
                  <w:color w:val="0000FF"/>
                  <w:sz w:val="20"/>
                  <w:u w:val="single"/>
                </w:rPr>
                <w:t>Certification of Chief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12026exhibit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12026exhibit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120" w:after="283"/>
        <w:jc w:val="both"/>
        <w:rPr/>
      </w:pPr>
      <w:r>
        <w:rPr>
          <w:rFonts w:ascii="Times New Roman;serif" w:hAnsi="Times New Roman;serif"/>
          <w:b w:val="false"/>
          <w:color w:val="000000"/>
          <w:sz w:val="16"/>
        </w:rPr>
        <w:t>________________</w:t>
        <w:br/>
        <w:t xml:space="preserve">*      </w:t>
      </w:r>
      <w:r>
        <w:rPr>
          <w:rFonts w:ascii="Times New Roman;serif" w:hAnsi="Times New Roman;serif"/>
          <w:b w:val="false"/>
          <w:color w:val="000000"/>
          <w:sz w:val="18"/>
        </w:rPr>
        <w:t>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51460"/>
                <wp:effectExtent l="0" t="0" r="0" b="0"/>
                <wp:wrapNone/>
                <wp:docPr id="42" name="Frame4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76b6b641e57d4f3284d2cde43463e0c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Dated: May 7, 2026</w:t>
      </w:r>
    </w:p>
    <w:tbl>
      <w:tblPr>
        <w:tblW w:w="3328" w:type="dxa"/>
        <w:jc w:val="right"/>
        <w:tblInd w:w="0" w:type="dxa"/>
        <w:tblLayout w:type="fixed"/>
        <w:tblCellMar>
          <w:top w:w="28" w:type="dxa"/>
          <w:left w:w="28" w:type="dxa"/>
          <w:bottom w:w="28" w:type="dxa"/>
          <w:right w:w="28" w:type="dxa"/>
        </w:tblCellMar>
      </w:tblPr>
      <w:tblGrid>
        <w:gridCol w:w="293"/>
        <w:gridCol w:w="258"/>
        <w:gridCol w:w="258"/>
        <w:gridCol w:w="731"/>
        <w:gridCol w:w="731"/>
        <w:gridCol w:w="105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332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PUBMATIC, INC.</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Pantelick</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Steven Pantelick</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51460"/>
                <wp:effectExtent l="0" t="0" r="0" b="0"/>
                <wp:wrapNone/>
                <wp:docPr id="43" name="Frame4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CERTIFICATION OF CHIEF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EXCHANGE ACT RULES 13a-14(a) AND 15d-14(a)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Rajeev K. Goel,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PubMatic,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
        <w:jc w:val="both"/>
        <w:rPr/>
      </w:pPr>
      <w:r>
        <w:rPr/>
      </w:r>
    </w:p>
    <w:p>
      <w:pPr>
        <w:pStyle w:val="TextBody"/>
        <w:bidi w:val="0"/>
        <w:spacing w:lineRule="auto" w:line="300" w:before="0" w:after="2"/>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
        <w:jc w:val="both"/>
        <w:rPr/>
      </w:pPr>
      <w:r>
        <w:rPr/>
      </w:r>
    </w:p>
    <w:tbl>
      <w:tblPr>
        <w:tblW w:w="4244" w:type="dxa"/>
        <w:jc w:val="left"/>
        <w:tblInd w:w="0" w:type="dxa"/>
        <w:tblLayout w:type="fixed"/>
        <w:tblCellMar>
          <w:top w:w="28" w:type="dxa"/>
          <w:left w:w="28" w:type="dxa"/>
          <w:bottom w:w="28" w:type="dxa"/>
          <w:right w:w="28" w:type="dxa"/>
        </w:tblCellMar>
      </w:tblPr>
      <w:tblGrid>
        <w:gridCol w:w="629"/>
        <w:gridCol w:w="553"/>
        <w:gridCol w:w="558"/>
        <w:gridCol w:w="731"/>
        <w:gridCol w:w="731"/>
        <w:gridCol w:w="1042"/>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May 7, 2026</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Rajeev K. Goel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Rajeev K. Goel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CERTIFICATION OF CHIEF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EXCHANGE ACT RULES 13a-14(a) AND 15d-14(a)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Steven Pantelick,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PubMatic,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
        <w:jc w:val="both"/>
        <w:rPr/>
      </w:pPr>
      <w:r>
        <w:rPr/>
      </w:r>
    </w:p>
    <w:p>
      <w:pPr>
        <w:pStyle w:val="TextBody"/>
        <w:bidi w:val="0"/>
        <w:spacing w:lineRule="auto" w:line="300" w:before="0" w:after="2"/>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
        <w:jc w:val="both"/>
        <w:rPr/>
      </w:pPr>
      <w:r>
        <w:rPr/>
      </w:r>
    </w:p>
    <w:tbl>
      <w:tblPr>
        <w:tblW w:w="4260" w:type="dxa"/>
        <w:jc w:val="left"/>
        <w:tblInd w:w="0" w:type="dxa"/>
        <w:tblLayout w:type="fixed"/>
        <w:tblCellMar>
          <w:top w:w="28" w:type="dxa"/>
          <w:left w:w="28" w:type="dxa"/>
          <w:bottom w:w="28" w:type="dxa"/>
          <w:right w:w="28" w:type="dxa"/>
        </w:tblCellMar>
      </w:tblPr>
      <w:tblGrid>
        <w:gridCol w:w="629"/>
        <w:gridCol w:w="553"/>
        <w:gridCol w:w="558"/>
        <w:gridCol w:w="737"/>
        <w:gridCol w:w="737"/>
        <w:gridCol w:w="1046"/>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May 7, 2026</w:t>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Steven Pantelick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Steven Pantelick</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OF CHIEF EXECUTIVE OFFICER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PURSUANT TO 18 U.S.C. SECTION 1350,</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Rajeev K. Goel, Chief Executive Officer of PubMatic, Inc. (the “Company”), do hereby certify, pursuant to 18 U.S.C. Section 1350, as adopted pursuant to Section 906 of the Sarbanes-Oxley Act of 2002, that to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Quarterly Report on Form 10-Q of the Company for the fiscal quarter ended March 31, 2026 (the “Report”) fully complies with the requirements of Section 13(a) or 15(d) of the Securities Exchange Act of 1934; and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244" w:type="dxa"/>
        <w:jc w:val="left"/>
        <w:tblInd w:w="0" w:type="dxa"/>
        <w:tblLayout w:type="fixed"/>
        <w:tblCellMar>
          <w:top w:w="28" w:type="dxa"/>
          <w:left w:w="28" w:type="dxa"/>
          <w:bottom w:w="28" w:type="dxa"/>
          <w:right w:w="28" w:type="dxa"/>
        </w:tblCellMar>
      </w:tblPr>
      <w:tblGrid>
        <w:gridCol w:w="629"/>
        <w:gridCol w:w="553"/>
        <w:gridCol w:w="558"/>
        <w:gridCol w:w="731"/>
        <w:gridCol w:w="731"/>
        <w:gridCol w:w="1042"/>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May 7, 2026</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Rajeev K. Goel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Rajeev K. Goel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OF CHIEF FINANCIAL OFFICER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PURSUANT TO 18 U.S.C. SECTION 1350,</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Steven Pantelick, Chief Financial Officer of PubMatic, Inc. (the “Company”), do hereby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Quarterly Report on Form 10-Q of the Company for the fiscal quarter ended March 31, 2026 (the “Report”) fully complies with the requirements of Section 13(a) or 15(d) of the Securities Exchange Act of 1934; and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260" w:type="dxa"/>
        <w:jc w:val="left"/>
        <w:tblInd w:w="0" w:type="dxa"/>
        <w:tblLayout w:type="fixed"/>
        <w:tblCellMar>
          <w:top w:w="28" w:type="dxa"/>
          <w:left w:w="28" w:type="dxa"/>
          <w:bottom w:w="28" w:type="dxa"/>
          <w:right w:w="28" w:type="dxa"/>
        </w:tblCellMar>
      </w:tblPr>
      <w:tblGrid>
        <w:gridCol w:w="629"/>
        <w:gridCol w:w="553"/>
        <w:gridCol w:w="558"/>
        <w:gridCol w:w="737"/>
        <w:gridCol w:w="737"/>
        <w:gridCol w:w="1046"/>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May 7, 2026</w:t>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Steven Pantelick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Steven Pantelick</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21229</Words>
  <Characters>120654</Characters>
  <CharactersWithSpaces>140647</CharactersWithSpaces>
  <Paragraphs>1914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