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72026_090719.xml.htm"/>
      <w:bookmarkStart w:id="1" w:name="ksform407172026_0907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Woods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PUBMATIC,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MARSHALL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PubMatic, Inc.</w:t>
              </w:r>
            </w:hyperlink>
            <w:r>
              <w:rPr/>
              <w:t xml:space="preserve"> [ </w:t>
            </w:r>
            <w:r>
              <w:rPr>
                <w:rFonts w:ascii="Times;serif" w:hAnsi="Times;serif"/>
                <w:color w:val="0000FF"/>
                <w:sz w:val="24"/>
                <w:shd w:fill="FFFFFF" w:val="clear"/>
              </w:rPr>
              <w:t>PUBM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GENERAL COUNSEL &amp; SECRETARY</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3,239</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14.0088</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78,092</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line item were effected pursuant to a Rule 10b5-1 trading plan adopted by the Reporting Person on March 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$14.00 to $14.04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Woods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6530" TargetMode="External"/><Relationship Id="rId5" Type="http://schemas.openxmlformats.org/officeDocument/2006/relationships/hyperlink" Target="http://www.sec.gov/cgi-bin/browse-edgar?action=getcompany&amp;CIK=0001422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664</Words>
  <Characters>3558</Characters>
  <CharactersWithSpaces>4162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